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default" w:ascii="Arial" w:hAnsi="Arial" w:cs="Arial"/>
          <w:b/>
          <w:sz w:val="22"/>
          <w:szCs w:val="22"/>
          <w:lang w:val="en-US" w:eastAsia="zh-CN"/>
        </w:rPr>
        <w:t>8</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R1-2201165</w:t>
      </w:r>
    </w:p>
    <w:p>
      <w:pPr>
        <w:tabs>
          <w:tab w:val="right" w:pos="9630"/>
        </w:tabs>
        <w:spacing w:after="0"/>
        <w:rPr>
          <w:rFonts w:ascii="Arial" w:hAnsi="Arial" w:cs="Arial"/>
          <w:b/>
          <w:sz w:val="22"/>
          <w:szCs w:val="22"/>
        </w:rPr>
      </w:pPr>
      <w:r>
        <w:rPr>
          <w:rFonts w:hint="eastAsia" w:ascii="Arial" w:hAnsi="Arial" w:cs="Arial"/>
          <w:b/>
          <w:sz w:val="22"/>
          <w:szCs w:val="22"/>
        </w:rPr>
        <w:t xml:space="preserve">e-Meeting, </w:t>
      </w:r>
      <w:r>
        <w:rPr>
          <w:rFonts w:ascii="Arial" w:hAnsi="Arial" w:eastAsia="MS Mincho" w:cs="Arial"/>
          <w:b/>
          <w:bCs/>
          <w:sz w:val="22"/>
          <w:szCs w:val="16"/>
          <w:lang w:eastAsia="ja-JP"/>
        </w:rPr>
        <w:t>February 21</w:t>
      </w:r>
      <w:r>
        <w:rPr>
          <w:rFonts w:ascii="Arial" w:hAnsi="Arial" w:eastAsia="MS Mincho" w:cs="Arial"/>
          <w:b/>
          <w:bCs/>
          <w:sz w:val="22"/>
          <w:szCs w:val="16"/>
          <w:vertAlign w:val="superscript"/>
          <w:lang w:eastAsia="ja-JP"/>
        </w:rPr>
        <w:t>st</w:t>
      </w:r>
      <w:r>
        <w:rPr>
          <w:rFonts w:ascii="Arial" w:hAnsi="Arial" w:eastAsia="MS Mincho" w:cs="Arial"/>
          <w:b/>
          <w:bCs/>
          <w:sz w:val="22"/>
          <w:szCs w:val="16"/>
          <w:lang w:eastAsia="ja-JP"/>
        </w:rPr>
        <w:t xml:space="preserve"> – March 3</w:t>
      </w:r>
      <w:r>
        <w:rPr>
          <w:rFonts w:ascii="Arial" w:hAnsi="Arial" w:eastAsia="MS Mincho" w:cs="Arial"/>
          <w:b/>
          <w:bCs/>
          <w:sz w:val="22"/>
          <w:szCs w:val="16"/>
          <w:vertAlign w:val="superscript"/>
          <w:lang w:eastAsia="ja-JP"/>
        </w:rPr>
        <w:t>rd</w:t>
      </w:r>
      <w:r>
        <w:rPr>
          <w:rFonts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hint="eastAsia"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default" w:ascii="Arial" w:hAnsi="Arial" w:cs="Arial"/>
          <w:b/>
          <w:sz w:val="22"/>
          <w:szCs w:val="22"/>
        </w:rPr>
        <w:t>Discussion on remaining issues for TB processing over multi-slot PUSCH</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8.8.1.2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Discussion/Decision</w:t>
      </w:r>
    </w:p>
    <w:p>
      <w:pPr>
        <w:pStyle w:val="2"/>
        <w:textAlignment w:val="auto"/>
      </w:pPr>
      <w:bookmarkStart w:id="2" w:name="_Ref4817"/>
      <w:r>
        <w:t>Introduction</w:t>
      </w:r>
      <w:bookmarkEnd w:id="0"/>
      <w:bookmarkEnd w:id="2"/>
    </w:p>
    <w:p>
      <w:pPr>
        <w:rPr>
          <w:rFonts w:hint="default"/>
          <w:lang w:val="en-US" w:eastAsia="zh-CN"/>
        </w:rPr>
      </w:pPr>
      <w:r>
        <w:rPr>
          <w:rFonts w:hint="eastAsia"/>
          <w:lang w:val="en-GB" w:eastAsia="zh-CN"/>
        </w:rPr>
        <w:t>In RAN</w:t>
      </w:r>
      <w:r>
        <w:rPr>
          <w:rFonts w:hint="default"/>
          <w:lang w:val="en-US" w:eastAsia="zh-CN"/>
        </w:rPr>
        <w:t>1#107bis</w:t>
      </w:r>
      <w:r>
        <w:rPr>
          <w:rFonts w:hint="eastAsia"/>
          <w:lang w:val="en-GB" w:eastAsia="zh-CN"/>
        </w:rPr>
        <w:t xml:space="preserve">-e, </w:t>
      </w:r>
      <w:r>
        <w:rPr>
          <w:rFonts w:hint="default"/>
          <w:lang w:val="en-US" w:eastAsia="zh-CN"/>
        </w:rPr>
        <w:t>almost all the features on the TBoMS transmission have been finished except the starting coded bit index determination and the HARQ-ACK multiplexing in a slot of the TBoMS transmission without the knowledge of the PUCCH resource [1]. In this contribution, our views on the remaining issues are presented.</w:t>
      </w:r>
    </w:p>
    <w:p>
      <w:pPr>
        <w:pStyle w:val="2"/>
        <w:rPr>
          <w:lang w:eastAsia="zh-CN"/>
        </w:rPr>
      </w:pPr>
      <w:r>
        <w:rPr>
          <w:lang w:eastAsia="zh-CN"/>
        </w:rPr>
        <w:t>Discussion</w:t>
      </w:r>
    </w:p>
    <w:p>
      <w:pPr>
        <w:pStyle w:val="3"/>
        <w:bidi w:val="0"/>
        <w:rPr>
          <w:rFonts w:hint="default"/>
          <w:lang w:val="en-US" w:eastAsia="zh-CN"/>
        </w:rPr>
      </w:pPr>
      <w:r>
        <w:rPr>
          <w:rFonts w:hint="default"/>
          <w:lang w:val="en-US" w:eastAsia="zh-CN"/>
        </w:rPr>
        <w:t>Starting coded bit index determination</w:t>
      </w:r>
    </w:p>
    <w:p>
      <w:pPr>
        <w:rPr>
          <w:rFonts w:hint="default"/>
          <w:lang w:val="en-US" w:eastAsia="zh-CN"/>
        </w:rPr>
      </w:pPr>
      <w:r>
        <w:rPr>
          <w:rFonts w:hint="default"/>
          <w:lang w:val="en-US" w:eastAsia="zh-CN"/>
        </w:rPr>
        <w:t>Regarding how to capture the agreed Option C into the specification clearly and correctly, there was a heated discussion in RAN1#107bis-e and no consensus could be achieved. It was suggested to split this issue into three aspects as following and resolve them one by one.</w:t>
      </w:r>
    </w:p>
    <w:p>
      <w:pPr>
        <w:numPr>
          <w:ilvl w:val="0"/>
          <w:numId w:val="10"/>
        </w:numPr>
        <w:ind w:left="420" w:leftChars="0" w:hanging="420" w:firstLineChars="0"/>
        <w:rPr>
          <w:rFonts w:hint="default"/>
          <w:lang w:val="en-US" w:eastAsia="zh-CN"/>
        </w:rPr>
      </w:pPr>
      <w:r>
        <w:rPr>
          <w:rFonts w:hint="default"/>
          <w:lang w:val="en-US" w:eastAsia="zh-CN"/>
        </w:rPr>
        <w:t>The definition of G and E for TBoMS</w:t>
      </w:r>
    </w:p>
    <w:p>
      <w:pPr>
        <w:numPr>
          <w:ilvl w:val="0"/>
          <w:numId w:val="10"/>
        </w:numPr>
        <w:ind w:left="420" w:leftChars="0" w:hanging="420" w:firstLineChars="0"/>
        <w:rPr>
          <w:rFonts w:hint="default"/>
          <w:lang w:val="en-US" w:eastAsia="zh-CN"/>
        </w:rPr>
      </w:pPr>
      <w:r>
        <w:rPr>
          <w:rFonts w:hint="default"/>
          <w:lang w:val="en-US" w:eastAsia="zh-CN"/>
        </w:rPr>
        <w:t>The value of G and E for TBoMS (or, alternatively, the value of H)</w:t>
      </w:r>
    </w:p>
    <w:p>
      <w:pPr>
        <w:numPr>
          <w:ilvl w:val="0"/>
          <w:numId w:val="10"/>
        </w:numPr>
        <w:ind w:left="420" w:leftChars="0" w:hanging="420" w:firstLineChars="0"/>
        <w:rPr>
          <w:rFonts w:hint="default"/>
          <w:lang w:val="en-US" w:eastAsia="zh-CN"/>
        </w:rPr>
      </w:pPr>
      <w:r>
        <w:rPr>
          <w:rFonts w:hint="default"/>
          <w:lang w:val="en-US" w:eastAsia="zh-CN"/>
        </w:rPr>
        <w:t>Handling of the filler bits in TBoMS</w:t>
      </w:r>
    </w:p>
    <w:p>
      <w:pPr>
        <w:pStyle w:val="4"/>
        <w:bidi w:val="0"/>
        <w:rPr>
          <w:rFonts w:hint="default"/>
          <w:lang w:val="en-US" w:eastAsia="zh-CN"/>
        </w:rPr>
      </w:pPr>
      <w:r>
        <w:rPr>
          <w:rFonts w:hint="default"/>
          <w:lang w:val="en-US" w:eastAsia="zh-CN"/>
        </w:rPr>
        <w:t>Aspect 1</w:t>
      </w:r>
      <w:r>
        <w:rPr>
          <w:rFonts w:hint="eastAsia"/>
          <w:lang w:val="en-US" w:eastAsia="zh-CN"/>
        </w:rPr>
        <w:t xml:space="preserve"> - </w:t>
      </w:r>
      <w:r>
        <w:rPr>
          <w:rFonts w:hint="default"/>
          <w:lang w:val="en-US" w:eastAsia="zh-CN"/>
        </w:rPr>
        <w:t>The definition of G and E for TBoMS</w:t>
      </w:r>
    </w:p>
    <w:p>
      <w:pPr>
        <w:rPr>
          <w:rFonts w:hint="default"/>
          <w:lang w:val="en-US" w:eastAsia="zh-CN"/>
        </w:rPr>
      </w:pPr>
      <w:r>
        <w:rPr>
          <w:rFonts w:hint="default"/>
          <w:lang w:val="en-US" w:eastAsia="zh-CN"/>
        </w:rPr>
        <w:t xml:space="preserve">In current specification, G is the total number of coded bits available for transmission of the transport block and E is the rate matching output sequence length for one coded block. Since there is only one code block for TBoMS transmission, G is equal to E. In addition, bit interleaving is performed per code block for normal PUSCH. For TBoMS, a code block is transmitted across multiple slots and bit interleaving is performed per slot. Therefore, the G and E for TBoMS should be redefined to reflect the agreement. Two alternatives were proposed to resolve this issue in RAN1#107bis-e [2].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i w:val="0"/>
                <w:iCs/>
                <w:sz w:val="20"/>
                <w:szCs w:val="20"/>
              </w:rPr>
            </w:pPr>
            <w:r>
              <w:rPr>
                <w:b/>
                <w:bCs/>
                <w:i w:val="0"/>
                <w:iCs/>
                <w:sz w:val="20"/>
                <w:szCs w:val="20"/>
              </w:rPr>
              <w:t>Alt 1.</w:t>
            </w:r>
            <w:r>
              <w:rPr>
                <w:i w:val="0"/>
                <w:iCs/>
                <w:sz w:val="20"/>
                <w:szCs w:val="20"/>
              </w:rPr>
              <w:t xml:space="preserve"> </w:t>
            </w:r>
            <m:oMath>
              <m:r>
                <m:rPr>
                  <m:sty m:val="p"/>
                </m:rPr>
                <w:rPr>
                  <w:rFonts w:ascii="Cambria Math" w:hAnsi="Cambria Math"/>
                  <w:sz w:val="20"/>
                  <w:szCs w:val="20"/>
                </w:rPr>
                <m:t>G</m:t>
              </m:r>
            </m:oMath>
            <w:r>
              <w:rPr>
                <w:i w:val="0"/>
                <w:iCs/>
                <w:sz w:val="20"/>
                <w:szCs w:val="20"/>
              </w:rPr>
              <w:t xml:space="preserve"> is redefined as </w:t>
            </w:r>
            <w:r>
              <w:rPr>
                <w:rFonts w:hint="eastAsia"/>
                <w:i w:val="0"/>
                <w:iCs/>
                <w:sz w:val="20"/>
                <w:szCs w:val="20"/>
                <w:lang w:eastAsia="zh-CN"/>
              </w:rPr>
              <w:t xml:space="preserve">the total number of coded bits </w:t>
            </w:r>
            <w:r>
              <w:rPr>
                <w:i w:val="0"/>
                <w:iCs/>
                <w:sz w:val="20"/>
                <w:szCs w:val="20"/>
                <w:lang w:eastAsia="zh-CN"/>
              </w:rPr>
              <w:t>available</w:t>
            </w:r>
            <w:r>
              <w:rPr>
                <w:rFonts w:hint="eastAsia"/>
                <w:i w:val="0"/>
                <w:iCs/>
                <w:sz w:val="20"/>
                <w:szCs w:val="20"/>
                <w:lang w:eastAsia="zh-CN"/>
              </w:rPr>
              <w:t xml:space="preserve"> for transmission of the transport block</w:t>
            </w:r>
            <w:r>
              <w:rPr>
                <w:i w:val="0"/>
                <w:iCs/>
                <w:sz w:val="20"/>
                <w:szCs w:val="20"/>
                <w:lang w:eastAsia="zh-CN"/>
              </w:rPr>
              <w:t xml:space="preserve"> in a slot</w:t>
            </w:r>
          </w:p>
          <w:p>
            <w:pPr>
              <w:spacing w:before="120" w:line="280" w:lineRule="atLeast"/>
              <w:rPr>
                <w:rFonts w:hint="default"/>
                <w:vertAlign w:val="baseline"/>
                <w:lang w:val="en-US" w:eastAsia="zh-CN"/>
              </w:rPr>
            </w:pPr>
            <w:r>
              <w:rPr>
                <w:b/>
                <w:bCs/>
                <w:i w:val="0"/>
                <w:iCs/>
                <w:sz w:val="20"/>
                <w:szCs w:val="20"/>
              </w:rPr>
              <w:t>Alt 2.</w:t>
            </w:r>
            <w:r>
              <w:rPr>
                <w:i w:val="0"/>
                <w:iCs/>
                <w:sz w:val="20"/>
                <w:szCs w:val="20"/>
              </w:rPr>
              <w:t xml:space="preserve"> A new variable </w:t>
            </w:r>
            <m:oMath>
              <m:r>
                <m:rPr>
                  <m:sty m:val="p"/>
                </m:rPr>
                <w:rPr>
                  <w:rFonts w:ascii="Cambria Math" w:hAnsi="Cambria Math"/>
                  <w:sz w:val="20"/>
                  <w:szCs w:val="20"/>
                </w:rPr>
                <m:t>H</m:t>
              </m:r>
            </m:oMath>
            <w:r>
              <w:rPr>
                <w:i w:val="0"/>
                <w:iCs/>
                <w:sz w:val="20"/>
                <w:szCs w:val="20"/>
              </w:rPr>
              <w:t xml:space="preserve"> is introduced, only for TBoMS, defined as </w:t>
            </w:r>
            <w:r>
              <w:rPr>
                <w:rFonts w:hint="eastAsia"/>
                <w:i w:val="0"/>
                <w:iCs/>
                <w:sz w:val="20"/>
                <w:szCs w:val="20"/>
                <w:lang w:eastAsia="zh-CN"/>
              </w:rPr>
              <w:t xml:space="preserve">the total number of coded bits </w:t>
            </w:r>
            <w:r>
              <w:rPr>
                <w:i w:val="0"/>
                <w:iCs/>
                <w:sz w:val="20"/>
                <w:szCs w:val="20"/>
                <w:lang w:eastAsia="zh-CN"/>
              </w:rPr>
              <w:t>available</w:t>
            </w:r>
            <w:r>
              <w:rPr>
                <w:rFonts w:hint="eastAsia"/>
                <w:i w:val="0"/>
                <w:iCs/>
                <w:sz w:val="20"/>
                <w:szCs w:val="20"/>
                <w:lang w:eastAsia="zh-CN"/>
              </w:rPr>
              <w:t xml:space="preserve"> for transmission of the transport block</w:t>
            </w:r>
            <w:r>
              <w:rPr>
                <w:i w:val="0"/>
                <w:iCs/>
                <w:sz w:val="20"/>
                <w:szCs w:val="20"/>
                <w:lang w:eastAsia="zh-CN"/>
              </w:rPr>
              <w:t xml:space="preserve"> in a slot</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For Alt.1, there is no impact on the legacy operation since PUSCH is always transmitted in a slot. For Alt. 2, a new variable is defined only TBoMS transmission and therefore there is no impact on the legacy operation. From this point of view, both alternatives work well</w:t>
      </w:r>
      <w:r>
        <w:rPr>
          <w:rFonts w:hint="eastAsia"/>
          <w:lang w:val="en-US" w:eastAsia="zh-CN"/>
        </w:rPr>
        <w:t xml:space="preserve"> and </w:t>
      </w:r>
      <w:r>
        <w:rPr>
          <w:rFonts w:hint="default"/>
          <w:lang w:val="en-US" w:eastAsia="zh-CN"/>
        </w:rPr>
        <w:t>are acceptable</w:t>
      </w:r>
      <w:r>
        <w:rPr>
          <w:rFonts w:hint="eastAsia"/>
          <w:lang w:val="en-US" w:eastAsia="zh-CN"/>
        </w:rPr>
        <w:t xml:space="preserve"> for us</w:t>
      </w:r>
      <w:r>
        <w:rPr>
          <w:rFonts w:hint="default"/>
          <w:lang w:val="en-US" w:eastAsia="zh-CN"/>
        </w:rPr>
        <w:t>.</w:t>
      </w:r>
      <w:r>
        <w:rPr>
          <w:rFonts w:hint="eastAsia"/>
          <w:lang w:val="en-US" w:eastAsia="zh-CN"/>
        </w:rPr>
        <w:t xml:space="preserve"> But, we slightly prefer Alt 2 which is more clear and could avoid potential ambiguity with legacy procedure.  </w:t>
      </w:r>
      <w:r>
        <w:rPr>
          <w:rFonts w:hint="default"/>
          <w:lang w:val="en-US" w:eastAsia="zh-CN"/>
        </w:rPr>
        <w:t xml:space="preserve"> </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1</w:t>
      </w:r>
      <w:r>
        <w:rPr>
          <w:rFonts w:hint="default"/>
          <w:b/>
          <w:bCs/>
          <w:i/>
          <w:iCs/>
          <w:lang w:val="en-US" w:eastAsia="zh-CN"/>
        </w:rPr>
        <w:t>:</w:t>
      </w:r>
      <w:r>
        <w:rPr>
          <w:rFonts w:hint="default"/>
          <w:i/>
          <w:iCs/>
          <w:lang w:val="en-US" w:eastAsia="zh-CN"/>
        </w:rPr>
        <w:t xml:space="preserve"> </w:t>
      </w:r>
      <w:r>
        <w:rPr>
          <w:rFonts w:hint="eastAsia"/>
          <w:i/>
          <w:iCs/>
          <w:lang w:val="en-US" w:eastAsia="zh-CN"/>
        </w:rPr>
        <w:t xml:space="preserve">Regarding </w:t>
      </w:r>
      <w:r>
        <w:rPr>
          <w:rFonts w:hint="default"/>
          <w:i/>
          <w:iCs/>
          <w:lang w:val="en-US" w:eastAsia="zh-CN"/>
        </w:rPr>
        <w:t xml:space="preserve">Aspect </w:t>
      </w:r>
      <w:r>
        <w:rPr>
          <w:rFonts w:hint="eastAsia"/>
          <w:i/>
          <w:iCs/>
          <w:lang w:val="en-US" w:eastAsia="zh-CN"/>
        </w:rPr>
        <w:t>1</w:t>
      </w:r>
      <w:r>
        <w:rPr>
          <w:rFonts w:hint="eastAsia"/>
          <w:i/>
          <w:iCs/>
          <w:lang w:val="en-US" w:eastAsia="zh-CN"/>
        </w:rPr>
        <w:t xml:space="preserve">, </w:t>
      </w:r>
      <w:r>
        <w:rPr>
          <w:b w:val="0"/>
          <w:bCs w:val="0"/>
          <w:i/>
          <w:iCs/>
          <w:sz w:val="20"/>
          <w:szCs w:val="20"/>
        </w:rPr>
        <w:t xml:space="preserve">Aspect 1 – Alt </w:t>
      </w:r>
      <w:r>
        <w:rPr>
          <w:rFonts w:hint="eastAsia"/>
          <w:b w:val="0"/>
          <w:bCs w:val="0"/>
          <w:i/>
          <w:iCs/>
          <w:sz w:val="20"/>
          <w:szCs w:val="20"/>
          <w:lang w:eastAsia="zh-CN"/>
        </w:rPr>
        <w:t>2</w:t>
      </w:r>
      <w:r>
        <w:rPr>
          <w:rFonts w:hint="eastAsia"/>
          <w:b w:val="0"/>
          <w:bCs w:val="0"/>
          <w:i/>
          <w:iCs/>
          <w:sz w:val="20"/>
          <w:szCs w:val="20"/>
          <w:lang w:val="en-US" w:eastAsia="zh-CN"/>
        </w:rPr>
        <w:t xml:space="preserve"> is slightly preferred. </w:t>
      </w:r>
    </w:p>
    <w:p>
      <w:pPr>
        <w:pStyle w:val="4"/>
        <w:bidi w:val="0"/>
        <w:rPr>
          <w:rFonts w:hint="default"/>
          <w:lang w:val="en-US" w:eastAsia="zh-CN"/>
        </w:rPr>
      </w:pPr>
      <w:r>
        <w:rPr>
          <w:rFonts w:hint="default"/>
          <w:lang w:val="en-US" w:eastAsia="zh-CN"/>
        </w:rPr>
        <w:t xml:space="preserve">Aspect </w:t>
      </w:r>
      <w:r>
        <w:rPr>
          <w:rFonts w:hint="eastAsia"/>
          <w:lang w:val="en-US" w:eastAsia="zh-CN"/>
        </w:rPr>
        <w:t xml:space="preserve">2 - </w:t>
      </w:r>
      <w:r>
        <w:rPr>
          <w:rFonts w:hint="default"/>
          <w:lang w:val="en-US" w:eastAsia="zh-CN"/>
        </w:rPr>
        <w:t>The value of G and E for TBoMS</w:t>
      </w:r>
    </w:p>
    <w:p>
      <w:pPr>
        <w:rPr>
          <w:rFonts w:hint="default"/>
          <w:lang w:val="en-US" w:eastAsia="zh-CN"/>
        </w:rPr>
      </w:pPr>
      <w:r>
        <w:rPr>
          <w:rFonts w:hint="default"/>
          <w:lang w:val="en-US" w:eastAsia="zh-CN"/>
        </w:rPr>
        <w:t>Two interpretations are summarized based on the discussion in RAN1#107bis-e as shown below [2].</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after="100" w:line="280" w:lineRule="atLeast"/>
              <w:jc w:val="both"/>
              <w:rPr>
                <w:sz w:val="20"/>
                <w:szCs w:val="20"/>
                <w:lang w:eastAsia="zh-CN"/>
              </w:rPr>
            </w:pPr>
            <w:r>
              <w:rPr>
                <w:b/>
                <w:bCs/>
                <w:sz w:val="20"/>
                <w:szCs w:val="20"/>
                <w:lang w:eastAsia="zh-CN"/>
              </w:rPr>
              <w:t>Interpretation 1.</w:t>
            </w:r>
            <w:r>
              <w:rPr>
                <w:sz w:val="20"/>
                <w:szCs w:val="20"/>
                <w:lang w:eastAsia="zh-CN"/>
              </w:rPr>
              <w:t xml:space="preserve"> The starting index of circular buffer is determined assuming no UCI multiplexing, but the number of bits being selected in bit selection (value E) is determined considering UCI multiplexing.</w:t>
            </w:r>
          </w:p>
          <w:p>
            <w:pPr>
              <w:spacing w:before="120" w:line="280" w:lineRule="atLeast"/>
              <w:rPr>
                <w:rFonts w:hint="default"/>
                <w:vertAlign w:val="baseline"/>
                <w:lang w:val="en-US" w:eastAsia="zh-CN"/>
              </w:rPr>
            </w:pPr>
            <w:r>
              <w:rPr>
                <w:b/>
                <w:bCs/>
                <w:sz w:val="20"/>
                <w:szCs w:val="20"/>
                <w:lang w:eastAsia="zh-CN"/>
              </w:rPr>
              <w:t>Interpretation 2.</w:t>
            </w:r>
            <w:r>
              <w:rPr>
                <w:sz w:val="20"/>
                <w:szCs w:val="20"/>
                <w:lang w:eastAsia="zh-CN"/>
              </w:rPr>
              <w:t xml:space="preserve"> The starting index of circular buffer is determined assuming no UCI multiplexing, and the number of bits being selected in bit selection (value E) is determined assuming no UCI multiplexing.</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These two interpretations do not affect the starting code bit index determination. In other words, both interpretations are in line with the agreed Option C. In our understanding, for the UCI multiplexing in a PUSCH transmitted in a slot, the multiplexed UCI should be taken into account when performing bit selection</w:t>
      </w:r>
      <w:r>
        <w:rPr>
          <w:rFonts w:hint="eastAsia"/>
          <w:lang w:val="en-US" w:eastAsia="zh-CN"/>
        </w:rPr>
        <w:t>, which also aligns with legacy behavior</w:t>
      </w:r>
      <w:r>
        <w:rPr>
          <w:rFonts w:hint="default"/>
          <w:lang w:val="en-US" w:eastAsia="zh-CN"/>
        </w:rPr>
        <w:t xml:space="preserve">. That is to say, the interpretation 1 is </w:t>
      </w:r>
      <w:r>
        <w:rPr>
          <w:rFonts w:hint="eastAsia"/>
          <w:lang w:val="en-US" w:eastAsia="zh-CN"/>
        </w:rPr>
        <w:t xml:space="preserve">more reasonable and preferred by us. </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2</w:t>
      </w:r>
      <w:r>
        <w:rPr>
          <w:rFonts w:hint="default"/>
          <w:b/>
          <w:bCs/>
          <w:i/>
          <w:iCs/>
          <w:lang w:val="en-US" w:eastAsia="zh-CN"/>
        </w:rPr>
        <w:t>:</w:t>
      </w:r>
      <w:r>
        <w:rPr>
          <w:rFonts w:hint="default"/>
          <w:i/>
          <w:iCs/>
          <w:lang w:val="en-US" w:eastAsia="zh-CN"/>
        </w:rPr>
        <w:t xml:space="preserve"> </w:t>
      </w:r>
      <w:r>
        <w:rPr>
          <w:rFonts w:hint="eastAsia"/>
          <w:i/>
          <w:iCs/>
          <w:lang w:val="en-US" w:eastAsia="zh-CN"/>
        </w:rPr>
        <w:t xml:space="preserve">Regarding </w:t>
      </w:r>
      <w:r>
        <w:rPr>
          <w:rFonts w:hint="default"/>
          <w:i/>
          <w:iCs/>
          <w:lang w:val="en-US" w:eastAsia="zh-CN"/>
        </w:rPr>
        <w:t xml:space="preserve">Aspect </w:t>
      </w:r>
      <w:r>
        <w:rPr>
          <w:rFonts w:hint="eastAsia"/>
          <w:i/>
          <w:iCs/>
          <w:lang w:val="en-US" w:eastAsia="zh-CN"/>
        </w:rPr>
        <w:t>2</w:t>
      </w:r>
      <w:r>
        <w:rPr>
          <w:rFonts w:hint="eastAsia"/>
          <w:lang w:val="en-US" w:eastAsia="zh-CN"/>
        </w:rPr>
        <w:t xml:space="preserve">, </w:t>
      </w:r>
      <w:r>
        <w:rPr>
          <w:b w:val="0"/>
          <w:bCs w:val="0"/>
          <w:i/>
          <w:iCs/>
          <w:sz w:val="20"/>
          <w:szCs w:val="20"/>
          <w:lang w:eastAsia="zh-CN"/>
        </w:rPr>
        <w:t>Aspect 2 – Interpretation 1</w:t>
      </w:r>
      <w:r>
        <w:rPr>
          <w:i/>
          <w:iCs/>
          <w:sz w:val="20"/>
          <w:szCs w:val="20"/>
          <w:lang w:eastAsia="zh-CN"/>
        </w:rPr>
        <w:t xml:space="preserve"> </w:t>
      </w:r>
      <w:r>
        <w:rPr>
          <w:rFonts w:hint="default"/>
          <w:i/>
          <w:iCs/>
          <w:lang w:val="en-US" w:eastAsia="zh-CN"/>
        </w:rPr>
        <w:t>is preferred</w:t>
      </w:r>
      <w:r>
        <w:rPr>
          <w:rFonts w:hint="eastAsia"/>
          <w:i/>
          <w:iCs/>
          <w:lang w:val="en-US" w:eastAsia="zh-CN"/>
        </w:rPr>
        <w:t xml:space="preserve">. </w:t>
      </w:r>
    </w:p>
    <w:p>
      <w:pPr>
        <w:pStyle w:val="4"/>
        <w:bidi w:val="0"/>
        <w:rPr>
          <w:rFonts w:hint="default"/>
          <w:lang w:val="en-US" w:eastAsia="zh-CN"/>
        </w:rPr>
      </w:pPr>
      <w:r>
        <w:rPr>
          <w:rFonts w:hint="default"/>
          <w:lang w:val="en-US" w:eastAsia="zh-CN"/>
        </w:rPr>
        <w:t xml:space="preserve">Aspect </w:t>
      </w:r>
      <w:r>
        <w:rPr>
          <w:rFonts w:hint="eastAsia"/>
          <w:lang w:val="en-US" w:eastAsia="zh-CN"/>
        </w:rPr>
        <w:t>3 -</w:t>
      </w:r>
      <w:r>
        <w:rPr>
          <w:rFonts w:hint="default"/>
          <w:lang w:val="en-US" w:eastAsia="zh-CN"/>
        </w:rPr>
        <w:t xml:space="preserve"> Handling of the filler bits in TBoMS</w:t>
      </w:r>
    </w:p>
    <w:p>
      <w:pPr>
        <w:rPr>
          <w:rFonts w:hint="default"/>
          <w:lang w:val="en-US" w:eastAsia="zh-CN"/>
        </w:rPr>
      </w:pPr>
      <w:r>
        <w:rPr>
          <w:rFonts w:hint="default"/>
          <w:lang w:val="en-US" w:eastAsia="zh-CN"/>
        </w:rPr>
        <w:t>Regarding how to handle the filler bits in TBoMS, two directions were proposed as shown below in RAN1#107bis-e [2].</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after="100" w:line="280" w:lineRule="atLeast"/>
              <w:jc w:val="both"/>
              <w:rPr>
                <w:sz w:val="20"/>
                <w:szCs w:val="20"/>
                <w:lang w:eastAsia="zh-CN"/>
              </w:rPr>
            </w:pPr>
            <w:r>
              <w:rPr>
                <w:b/>
                <w:bCs/>
                <w:sz w:val="20"/>
                <w:szCs w:val="20"/>
                <w:lang w:eastAsia="zh-CN"/>
              </w:rPr>
              <w:t>Direction 1.</w:t>
            </w:r>
            <w:r>
              <w:rPr>
                <w:sz w:val="20"/>
                <w:szCs w:val="20"/>
                <w:lang w:eastAsia="zh-CN"/>
              </w:rPr>
              <w:t xml:space="preserve"> Filler bits are considered to pre-determine the index of the starting bit for each allocated slot for TBoMS, to ensure no overlap exists between bit sequences transmitted over consecutive slots.</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00" w:line="280" w:lineRule="atLeast"/>
              <w:ind w:left="420" w:leftChars="0" w:hanging="420" w:firstLineChars="0"/>
              <w:jc w:val="both"/>
              <w:textAlignment w:val="baseline"/>
              <w:rPr>
                <w:sz w:val="20"/>
                <w:szCs w:val="20"/>
                <w:lang w:eastAsia="zh-CN"/>
              </w:rPr>
            </w:pPr>
            <w:r>
              <w:rPr>
                <w:rFonts w:hint="default"/>
                <w:sz w:val="20"/>
                <w:szCs w:val="20"/>
                <w:lang w:val="en-US" w:eastAsia="zh-CN"/>
              </w:rPr>
              <w:t xml:space="preserve">Pros: </w:t>
            </w:r>
            <w:r>
              <w:rPr>
                <w:rFonts w:hint="eastAsia"/>
                <w:sz w:val="20"/>
                <w:szCs w:val="20"/>
                <w:lang w:eastAsia="zh-CN"/>
              </w:rPr>
              <w:t>No overlap of bit sequences selected for consecutive slots and all the information available to pre-determine the starting bit in each slot is entirely available at the UE, since the latter always knows in advance the location of all systematic, filler and parity bits. This fully compatible with both agreements on continuous bit selection from the circular buffer and pre-determination of starting bit in each slot.</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00" w:line="280" w:lineRule="atLeast"/>
              <w:ind w:left="420" w:leftChars="0" w:hanging="420" w:firstLineChars="0"/>
              <w:jc w:val="both"/>
              <w:textAlignment w:val="baseline"/>
              <w:rPr>
                <w:sz w:val="20"/>
                <w:szCs w:val="20"/>
                <w:lang w:eastAsia="zh-CN"/>
              </w:rPr>
            </w:pPr>
            <w:r>
              <w:rPr>
                <w:rFonts w:hint="default"/>
                <w:sz w:val="20"/>
                <w:szCs w:val="20"/>
                <w:lang w:val="en-US" w:eastAsia="zh-CN"/>
              </w:rPr>
              <w:t xml:space="preserve">Cons: </w:t>
            </w:r>
            <w:r>
              <w:rPr>
                <w:rFonts w:hint="eastAsia"/>
                <w:sz w:val="20"/>
                <w:szCs w:val="20"/>
                <w:lang w:eastAsia="zh-CN"/>
              </w:rPr>
              <w:t>The equation to calculate the starting bit location for each slot makes use of an offset whose value may not be constant across allocated slots for TBoMS, while still fully deterministic and known in advance</w:t>
            </w:r>
            <w:r>
              <w:rPr>
                <w:rFonts w:hint="default"/>
                <w:sz w:val="20"/>
                <w:szCs w:val="20"/>
                <w:lang w:val="en-US" w:eastAsia="zh-CN"/>
              </w:rPr>
              <w:t>.</w:t>
            </w:r>
          </w:p>
          <w:p>
            <w:pPr>
              <w:spacing w:before="120" w:line="280" w:lineRule="atLeast"/>
              <w:rPr>
                <w:sz w:val="20"/>
                <w:szCs w:val="20"/>
                <w:lang w:eastAsia="zh-CN"/>
              </w:rPr>
            </w:pPr>
            <w:r>
              <w:rPr>
                <w:b/>
                <w:bCs/>
                <w:sz w:val="20"/>
                <w:szCs w:val="20"/>
                <w:lang w:eastAsia="zh-CN"/>
              </w:rPr>
              <w:t xml:space="preserve">Direction 2. </w:t>
            </w:r>
            <w:r>
              <w:rPr>
                <w:sz w:val="20"/>
                <w:szCs w:val="20"/>
                <w:lang w:eastAsia="zh-CN"/>
              </w:rPr>
              <w:t>Filler bits are not considered to pre-determine the index of the starting bit for each allocated slot for TBoMS and overlap between bit sequences transmitted over consecutive slots is allowed.</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00" w:line="280" w:lineRule="atLeast"/>
              <w:ind w:left="420" w:leftChars="0" w:hanging="420" w:firstLineChars="0"/>
              <w:jc w:val="both"/>
              <w:textAlignment w:val="baseline"/>
              <w:rPr>
                <w:sz w:val="20"/>
                <w:szCs w:val="20"/>
                <w:lang w:eastAsia="zh-CN"/>
              </w:rPr>
            </w:pPr>
            <w:r>
              <w:rPr>
                <w:rFonts w:hint="default"/>
                <w:sz w:val="20"/>
                <w:szCs w:val="20"/>
                <w:lang w:val="en-US" w:eastAsia="zh-CN"/>
              </w:rPr>
              <w:t xml:space="preserve">Pros: </w:t>
            </w:r>
            <w:r>
              <w:rPr>
                <w:rFonts w:hint="eastAsia"/>
                <w:sz w:val="20"/>
                <w:szCs w:val="20"/>
                <w:lang w:eastAsia="zh-CN"/>
              </w:rPr>
              <w:t>It is very simple and uses a fixed offset for calculating the starting bit position determination in each slot equal to the number the total number of coded bits available for transmission of the transport block, if no UCI multiplexing occurs. The presence of filler bits is not considered.</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00" w:line="280" w:lineRule="atLeast"/>
              <w:ind w:left="420" w:leftChars="0" w:hanging="420" w:firstLineChars="0"/>
              <w:jc w:val="both"/>
              <w:textAlignment w:val="baseline"/>
              <w:rPr>
                <w:sz w:val="20"/>
                <w:szCs w:val="20"/>
                <w:lang w:eastAsia="zh-CN"/>
              </w:rPr>
            </w:pPr>
            <w:r>
              <w:rPr>
                <w:rFonts w:hint="default"/>
                <w:sz w:val="20"/>
                <w:szCs w:val="20"/>
                <w:lang w:val="en-US" w:eastAsia="zh-CN"/>
              </w:rPr>
              <w:t>Cons</w:t>
            </w:r>
          </w:p>
          <w:p>
            <w:pPr>
              <w:keepNext w:val="0"/>
              <w:keepLines w:val="0"/>
              <w:pageBreakBefore w:val="0"/>
              <w:widowControl/>
              <w:numPr>
                <w:ilvl w:val="1"/>
                <w:numId w:val="11"/>
              </w:numPr>
              <w:kinsoku/>
              <w:wordWrap/>
              <w:overflowPunct w:val="0"/>
              <w:topLinePunct w:val="0"/>
              <w:autoSpaceDE w:val="0"/>
              <w:autoSpaceDN w:val="0"/>
              <w:bidi w:val="0"/>
              <w:adjustRightInd w:val="0"/>
              <w:snapToGrid/>
              <w:spacing w:before="120" w:after="100" w:line="280" w:lineRule="atLeast"/>
              <w:ind w:left="840" w:leftChars="0" w:hanging="420" w:firstLineChars="0"/>
              <w:jc w:val="both"/>
              <w:textAlignment w:val="baseline"/>
              <w:rPr>
                <w:sz w:val="20"/>
                <w:szCs w:val="20"/>
                <w:lang w:eastAsia="zh-CN"/>
              </w:rPr>
            </w:pPr>
            <w:r>
              <w:rPr>
                <w:rFonts w:hint="eastAsia"/>
                <w:sz w:val="20"/>
                <w:szCs w:val="20"/>
                <w:lang w:eastAsia="zh-CN"/>
              </w:rPr>
              <w:t>The fact that filler bits are not considered would lead to create overlap of bit sequences selected for consecutive slots. Thus, it may require to first revert an existing agreement concerning the continuous selection of bits from the circular buffer.</w:t>
            </w:r>
          </w:p>
          <w:p>
            <w:pPr>
              <w:keepNext w:val="0"/>
              <w:keepLines w:val="0"/>
              <w:pageBreakBefore w:val="0"/>
              <w:widowControl/>
              <w:numPr>
                <w:ilvl w:val="1"/>
                <w:numId w:val="11"/>
              </w:numPr>
              <w:kinsoku/>
              <w:wordWrap/>
              <w:overflowPunct w:val="0"/>
              <w:topLinePunct w:val="0"/>
              <w:autoSpaceDE w:val="0"/>
              <w:autoSpaceDN w:val="0"/>
              <w:bidi w:val="0"/>
              <w:adjustRightInd w:val="0"/>
              <w:snapToGrid/>
              <w:spacing w:before="120" w:after="100" w:line="280" w:lineRule="atLeast"/>
              <w:ind w:left="840" w:leftChars="0" w:hanging="420" w:firstLineChars="0"/>
              <w:jc w:val="both"/>
              <w:textAlignment w:val="baseline"/>
              <w:rPr>
                <w:rFonts w:hint="default"/>
                <w:sz w:val="20"/>
                <w:szCs w:val="20"/>
                <w:lang w:val="en-US" w:eastAsia="zh-CN"/>
              </w:rPr>
            </w:pPr>
            <w:r>
              <w:rPr>
                <w:rFonts w:hint="eastAsia"/>
                <w:sz w:val="20"/>
                <w:szCs w:val="20"/>
                <w:lang w:eastAsia="zh-CN"/>
              </w:rPr>
              <w:t>According to Direction 2, the pre-determined starting bit of a slot could a filler bit since the presence of filler bits is not considered during the determination. Hence, the real starting bit of the corresponding slot, which must be either a systematic or a parity bit by specification, would have to be recalculated later (when the bit sequence is selected and interleaved). This may also require to first revert an existing agreement concerning the pre-determination of the starting bit of each slot allocated for TBoMS.</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 xml:space="preserve">The pros and cons of the two directions are also summarized as above. The direction 2 is pretty simple. The most concern on direction 2 is that it requires to revert the previous agreement while there is no such issue on direction 1. In the discussion of Option B versus option C, the filler bits is not considered. However, if filler bits are taken into account, it will lead to both directions are not aligned with the agreed Option C. For example, if the starting coded bits of a slot are filler bits, it implies that the starting coded bits for this slot are not continuous from the position of the last bit selected in the previous allocated slot after bit selection. Therefore, previous agreements needs to be reverted anyway. </w:t>
      </w:r>
    </w:p>
    <w:p>
      <w:pPr>
        <w:rPr>
          <w:rFonts w:hint="default"/>
          <w:lang w:val="en-US" w:eastAsia="zh-CN"/>
        </w:rPr>
      </w:pPr>
      <w:r>
        <w:rPr>
          <w:rFonts w:hint="default"/>
          <w:lang w:val="en-US" w:eastAsia="zh-CN"/>
        </w:rPr>
        <w:t>On the other hand, both directions work well</w:t>
      </w:r>
      <w:r>
        <w:rPr>
          <w:rFonts w:hint="eastAsia"/>
          <w:lang w:val="en-US" w:eastAsia="zh-CN"/>
        </w:rPr>
        <w:t xml:space="preserve"> as summarized by Feature Lead</w:t>
      </w:r>
      <w:r>
        <w:rPr>
          <w:rFonts w:hint="default"/>
          <w:lang w:val="en-US" w:eastAsia="zh-CN"/>
        </w:rPr>
        <w:t xml:space="preserve">. In addition, there may be no big difference on the performance between these two directions. So we think both directions are acceptable. Between of them, direction 2 is slightly preferred. </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3</w:t>
      </w:r>
      <w:r>
        <w:rPr>
          <w:rFonts w:hint="default"/>
          <w:b/>
          <w:bCs/>
          <w:i/>
          <w:iCs/>
          <w:lang w:val="en-US" w:eastAsia="zh-CN"/>
        </w:rPr>
        <w:t>:</w:t>
      </w:r>
      <w:r>
        <w:rPr>
          <w:rFonts w:hint="default"/>
          <w:i/>
          <w:iCs/>
          <w:lang w:val="en-US" w:eastAsia="zh-CN"/>
        </w:rPr>
        <w:t xml:space="preserve"> Both directions on the handling of filler bits are acceptable and </w:t>
      </w:r>
      <w:r>
        <w:rPr>
          <w:b w:val="0"/>
          <w:bCs w:val="0"/>
          <w:i/>
          <w:iCs/>
          <w:sz w:val="20"/>
          <w:szCs w:val="20"/>
          <w:lang w:eastAsia="zh-CN"/>
        </w:rPr>
        <w:t xml:space="preserve">Aspect 3 – Direction </w:t>
      </w:r>
      <w:r>
        <w:rPr>
          <w:rFonts w:hint="eastAsia"/>
          <w:b w:val="0"/>
          <w:bCs w:val="0"/>
          <w:i/>
          <w:iCs/>
          <w:sz w:val="20"/>
          <w:szCs w:val="20"/>
          <w:lang w:eastAsia="zh-CN"/>
        </w:rPr>
        <w:t>2</w:t>
      </w:r>
      <w:r>
        <w:rPr>
          <w:rFonts w:hint="default"/>
          <w:i/>
          <w:iCs/>
          <w:lang w:val="en-US" w:eastAsia="zh-CN"/>
        </w:rPr>
        <w:t xml:space="preserve"> is slightly preferred.</w:t>
      </w:r>
    </w:p>
    <w:p>
      <w:pPr>
        <w:pStyle w:val="3"/>
        <w:bidi w:val="0"/>
        <w:rPr>
          <w:i w:val="0"/>
          <w:iCs w:val="0"/>
          <w:lang w:eastAsia="zh-CN"/>
        </w:rPr>
      </w:pPr>
      <w:r>
        <w:rPr>
          <w:rFonts w:hint="eastAsia"/>
          <w:lang w:val="en-US" w:eastAsia="zh-CN"/>
        </w:rPr>
        <w:t>HARQ-ACK multiplexing</w:t>
      </w:r>
      <w:r>
        <w:rPr>
          <w:rFonts w:hint="eastAsia"/>
          <w:lang w:eastAsia="zh-CN"/>
        </w:rPr>
        <w:t xml:space="preserve"> </w:t>
      </w:r>
      <w:r>
        <w:rPr>
          <w:rFonts w:hint="eastAsia"/>
          <w:lang w:val="en-US" w:eastAsia="zh-CN"/>
        </w:rPr>
        <w:t xml:space="preserve">on </w:t>
      </w:r>
      <w:r>
        <w:rPr>
          <w:rFonts w:hint="eastAsia"/>
          <w:lang w:eastAsia="zh-CN"/>
        </w:rPr>
        <w:t>TBoMS</w:t>
      </w:r>
      <w:r>
        <w:rPr>
          <w:rFonts w:hint="eastAsia"/>
          <w:lang w:val="en-US" w:eastAsia="zh-CN"/>
        </w:rPr>
        <w:t xml:space="preserve"> with</w:t>
      </w:r>
      <w:r>
        <w:rPr>
          <w:rFonts w:hint="eastAsia"/>
          <w:i w:val="0"/>
          <w:iCs w:val="0"/>
          <w:lang w:val="en-US" w:eastAsia="zh-CN"/>
        </w:rPr>
        <w:t xml:space="preserve"> </w:t>
      </w:r>
      <w:r>
        <w:rPr>
          <w:rFonts w:hint="default"/>
          <w:i w:val="0"/>
          <w:iCs w:val="0"/>
          <w:lang w:val="en-US" w:eastAsia="zh-CN"/>
        </w:rPr>
        <w:t>no overlapping PUCCH with HARQ-ACK</w:t>
      </w:r>
    </w:p>
    <w:p>
      <w:pPr>
        <w:rPr>
          <w:rFonts w:hint="default"/>
          <w:lang w:val="en-US" w:eastAsia="zh-CN"/>
        </w:rPr>
      </w:pPr>
      <w:r>
        <w:rPr>
          <w:rFonts w:hint="default"/>
          <w:lang w:val="en-US" w:eastAsia="zh-CN"/>
        </w:rPr>
        <w:t xml:space="preserve">In RAN#94-e, it was agreed to adopt option C for the rate matching for TBoMS, i.e., the index of the starting coded bit in the circular buffer is the index continuous from the position of the last bit selected in the previous allocated slot, regardless of whether UCI multiplexing occurred in the previous allocated slot or not. The main reason is that it can overcome the error propagation issue due to missing detection of DL DCI corresponding to the HARQ-ACK feedback to be multiplexed in TBoMS PUSCH and many companies believe this is an important issue to be addressed. </w:t>
      </w:r>
    </w:p>
    <w:p>
      <w:pPr>
        <w:rPr>
          <w:rFonts w:hint="default"/>
          <w:lang w:val="en-US" w:eastAsia="zh-CN"/>
        </w:rPr>
      </w:pPr>
      <w:r>
        <w:rPr>
          <w:rFonts w:hint="default"/>
          <w:lang w:val="en-US" w:eastAsia="zh-CN"/>
        </w:rPr>
        <w:t>In RAN1#107-e, the following agreements were reached for HARQ-ACK multiplexed in PUSCH in Rel-15/16 maintenance session of AI 7.1 [3].</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54" w:type="dxa"/>
          </w:tcPr>
          <w:p>
            <w:pPr>
              <w:spacing w:before="120" w:line="280" w:lineRule="atLeast"/>
              <w:jc w:val="both"/>
              <w:rPr>
                <w:rFonts w:hint="eastAsia" w:ascii="Calibri" w:hAnsi="Calibri" w:eastAsia="Gulim"/>
                <w:b/>
                <w:bCs/>
                <w:szCs w:val="20"/>
                <w:highlight w:val="green"/>
              </w:rPr>
            </w:pPr>
            <w:r>
              <w:rPr>
                <w:b/>
                <w:bCs/>
                <w:szCs w:val="20"/>
                <w:highlight w:val="green"/>
              </w:rPr>
              <w:t>Agreement</w:t>
            </w:r>
          </w:p>
          <w:p>
            <w:pPr>
              <w:spacing w:before="120" w:line="280" w:lineRule="atLeast"/>
              <w:jc w:val="both"/>
              <w:rPr>
                <w:rFonts w:hint="eastAsia" w:ascii="Calibri" w:hAnsi="Calibri" w:eastAsia="Gulim"/>
                <w:b/>
                <w:bCs/>
                <w:szCs w:val="20"/>
                <w:highlight w:val="green"/>
              </w:rPr>
            </w:pPr>
            <w:r>
              <w:rPr>
                <w:rFonts w:cs="Times"/>
              </w:rPr>
              <w:t>For Rel-16 with multiple overlapping PUSCHs with no overlapping PUCCH with HARQ-ACK within a span of one PUCCH slot, if the UL-TDAI n.e. 4 (for Type 2 codebook) or equal to 1 (for Type 1 codebook) there is no consensus in RAN1 on Rel-16 UE behaviour </w:t>
            </w:r>
            <w:r>
              <w:rPr>
                <w:rFonts w:cs="Times"/>
              </w:rPr>
              <w:br w:type="textWrapping"/>
            </w:r>
            <w:r>
              <w:rPr>
                <w:rFonts w:cs="Times"/>
              </w:rPr>
              <w:t> </w:t>
            </w:r>
            <w:r>
              <w:rPr>
                <w:rFonts w:cs="Times"/>
              </w:rPr>
              <w:br w:type="textWrapping"/>
            </w:r>
            <w:r>
              <w:rPr>
                <w:b/>
                <w:bCs/>
                <w:szCs w:val="20"/>
                <w:highlight w:val="green"/>
              </w:rPr>
              <w:t>Agreement</w:t>
            </w:r>
          </w:p>
          <w:p>
            <w:pPr>
              <w:spacing w:before="120" w:line="280" w:lineRule="atLeast"/>
              <w:rPr>
                <w:rFonts w:hint="default"/>
                <w:vertAlign w:val="baseline"/>
                <w:lang w:val="en-US" w:eastAsia="zh-CN"/>
              </w:rPr>
            </w:pPr>
            <w:r>
              <w:rPr>
                <w:rFonts w:cs="Times"/>
              </w:rP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It means that the UE should perform UCI multiplexing anyway by following the T-DAI in UL grant when the T-DAI in UL grant is not equal to 4 for Type 2 codebook or is equal to 1 for Type 1 codebook. We believe this principle should also be applied to TBoMS PUSCH.</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4</w:t>
      </w:r>
      <w:r>
        <w:rPr>
          <w:rFonts w:hint="default"/>
          <w:b/>
          <w:bCs/>
          <w:i/>
          <w:iCs/>
          <w:lang w:val="en-US" w:eastAsia="zh-CN"/>
        </w:rPr>
        <w:t>:</w:t>
      </w:r>
      <w:r>
        <w:rPr>
          <w:rFonts w:hint="default"/>
          <w:i/>
          <w:iCs/>
          <w:lang w:val="en-US" w:eastAsia="zh-CN"/>
        </w:rPr>
        <w:t xml:space="preserve"> For single TBoMS transmission and no overlapping PUCCH with HARQ-ACK within a span of one PUCCH slot, if T-DAI in UL grant is not equal to 4 for Type 2 codebook or is equal to 1 for Type 1 codebook, the UE should multiplex HARQ-ACK in the PUSCH following the T-DAI in UL grant.</w:t>
      </w:r>
    </w:p>
    <w:p>
      <w:pPr>
        <w:rPr>
          <w:rFonts w:hint="default"/>
          <w:lang w:val="en-US" w:eastAsia="zh-CN"/>
        </w:rPr>
      </w:pPr>
      <w:r>
        <w:rPr>
          <w:rFonts w:hint="default"/>
          <w:lang w:val="en-US" w:eastAsia="zh-CN"/>
        </w:rPr>
        <w:t>For TBoMS, PUSCH is transmitted over multiple slots. The PUCCH with HARQ-ACK may overlap with any one of the multiple slots. If the UE misses the DL DCI, it would not know where is the PUCCH slot and in which slot the PUSCH overlaps with the PUCCH for HARQ-ACK. Therefore, the UE does not know the slot that the HARQ-ACK should be multiplexed in. For example, as shown in Figure 1 below, if the UE misses the DL grant, it does not know the HARQ-ACK should be multiplexed in PUSCH in slot#1 or PUSCH in slot#2. This issue should be resolved.</w:t>
      </w:r>
    </w:p>
    <w:p>
      <w:pPr>
        <w:jc w:val="center"/>
      </w:pPr>
      <w:r>
        <w:object>
          <v:shape id="_x0000_i1025" o:spt="75" type="#_x0000_t75" style="height:146.3pt;width:426.15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rPr>
          <w:rFonts w:hint="default"/>
          <w:lang w:val="en-US" w:eastAsia="zh-CN"/>
        </w:rPr>
      </w:pPr>
      <w:r>
        <w:rPr>
          <w:rFonts w:hint="default"/>
          <w:lang w:val="en-US" w:eastAsia="zh-CN"/>
        </w:rPr>
        <w:t>Figure 1 An example of PUCCH overlapping with PUSCHs for TBoMS</w:t>
      </w:r>
    </w:p>
    <w:p>
      <w:pPr>
        <w:rPr>
          <w:rFonts w:hint="default"/>
          <w:lang w:val="en-US" w:eastAsia="zh-CN"/>
        </w:rPr>
      </w:pPr>
      <w:r>
        <w:rPr>
          <w:rFonts w:hint="default"/>
          <w:lang w:val="en-US" w:eastAsia="zh-CN"/>
        </w:rPr>
        <w:t>To address this issue, a straightforward way is to specify a slot for HARQ-ACK multiplexing. For example, the first slot or the last slot of the TBoMS transmission is specified for HARQ-ACK multiplexing when the UE does not detect any DL DCI and the T-DAI in the UL grant is not equal to 4 for Type 2 codebook or is equal to 1 for Type 1 codebook. In this case, the network should schedule the PUCCH for HARQ-ACK overlapping with the specified slot to align the understanding between the UE and the network</w:t>
      </w:r>
      <w:r>
        <w:rPr>
          <w:rFonts w:hint="eastAsia"/>
          <w:lang w:val="en-US" w:eastAsia="zh-CN"/>
        </w:rPr>
        <w:t xml:space="preserve"> or network need to bear blind decoding otherwise</w:t>
      </w:r>
      <w:r>
        <w:rPr>
          <w:rFonts w:hint="default"/>
          <w:lang w:val="en-US" w:eastAsia="zh-CN"/>
        </w:rPr>
        <w:t xml:space="preserve">. </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5</w:t>
      </w:r>
      <w:r>
        <w:rPr>
          <w:rFonts w:hint="default"/>
          <w:b/>
          <w:bCs/>
          <w:i/>
          <w:iCs/>
          <w:lang w:val="en-US" w:eastAsia="zh-CN"/>
        </w:rPr>
        <w:t>:</w:t>
      </w:r>
      <w:r>
        <w:rPr>
          <w:rFonts w:hint="default"/>
          <w:i/>
          <w:iCs/>
          <w:lang w:val="en-US" w:eastAsia="zh-CN"/>
        </w:rPr>
        <w:t xml:space="preserve"> One of the slots for TBoMS transmission should be specified for HARQ-ACK multiplexing if the UE does not know the PUCCH slot due to missing detection of the DL DCI and the T-DAI in the UL grant is not equal to 4 for Type 2 codebook or is equal to 1 for Type 1 codebook.</w:t>
      </w:r>
    </w:p>
    <w:p>
      <w:pPr>
        <w:pStyle w:val="2"/>
        <w:rPr>
          <w:lang w:eastAsia="zh-CN"/>
        </w:rPr>
      </w:pPr>
      <w:r>
        <w:rPr>
          <w:rFonts w:hint="eastAsia"/>
          <w:lang w:eastAsia="zh-CN"/>
        </w:rPr>
        <w:t>C</w:t>
      </w:r>
      <w:r>
        <w:rPr>
          <w:lang w:eastAsia="zh-CN"/>
        </w:rPr>
        <w:t>onclusion</w:t>
      </w:r>
    </w:p>
    <w:p>
      <w:pPr>
        <w:bidi w:val="0"/>
        <w:rPr>
          <w:rFonts w:hint="default"/>
          <w:lang w:val="en-US" w:eastAsia="zh-CN"/>
        </w:rPr>
      </w:pPr>
      <w:r>
        <w:rPr>
          <w:rFonts w:hint="default"/>
          <w:lang w:val="en-US" w:eastAsia="zh-CN"/>
        </w:rPr>
        <w:t>According to the analysis given above, we have the following proposals:</w:t>
      </w:r>
    </w:p>
    <w:p>
      <w:pPr>
        <w:rPr>
          <w:rFonts w:hint="eastAsia"/>
          <w:b w:val="0"/>
          <w:bCs w:val="0"/>
          <w:i/>
          <w:iCs/>
          <w:sz w:val="20"/>
          <w:szCs w:val="20"/>
          <w:lang w:val="en-US" w:eastAsia="zh-CN"/>
        </w:rPr>
      </w:pPr>
      <w:r>
        <w:rPr>
          <w:rFonts w:hint="default"/>
          <w:b/>
          <w:bCs/>
          <w:i/>
          <w:iCs/>
          <w:lang w:val="en-US" w:eastAsia="zh-CN"/>
        </w:rPr>
        <w:t xml:space="preserve">Proposal </w:t>
      </w:r>
      <w:r>
        <w:rPr>
          <w:rFonts w:hint="eastAsia"/>
          <w:b/>
          <w:bCs/>
          <w:i/>
          <w:iCs/>
          <w:lang w:val="en-US" w:eastAsia="zh-CN"/>
        </w:rPr>
        <w:t>1</w:t>
      </w:r>
      <w:r>
        <w:rPr>
          <w:rFonts w:hint="default"/>
          <w:b/>
          <w:bCs/>
          <w:i/>
          <w:iCs/>
          <w:lang w:val="en-US" w:eastAsia="zh-CN"/>
        </w:rPr>
        <w:t>:</w:t>
      </w:r>
      <w:r>
        <w:rPr>
          <w:rFonts w:hint="default"/>
          <w:i/>
          <w:iCs/>
          <w:lang w:val="en-US" w:eastAsia="zh-CN"/>
        </w:rPr>
        <w:t xml:space="preserve"> </w:t>
      </w:r>
      <w:r>
        <w:rPr>
          <w:rFonts w:hint="eastAsia"/>
          <w:i/>
          <w:iCs/>
          <w:lang w:val="en-US" w:eastAsia="zh-CN"/>
        </w:rPr>
        <w:t xml:space="preserve">Regarding </w:t>
      </w:r>
      <w:r>
        <w:rPr>
          <w:rFonts w:hint="default"/>
          <w:i/>
          <w:iCs/>
          <w:lang w:val="en-US" w:eastAsia="zh-CN"/>
        </w:rPr>
        <w:t xml:space="preserve">Aspect </w:t>
      </w:r>
      <w:r>
        <w:rPr>
          <w:rFonts w:hint="eastAsia"/>
          <w:i/>
          <w:iCs/>
          <w:lang w:val="en-US" w:eastAsia="zh-CN"/>
        </w:rPr>
        <w:t xml:space="preserve">1, </w:t>
      </w:r>
      <w:r>
        <w:rPr>
          <w:b w:val="0"/>
          <w:bCs w:val="0"/>
          <w:i/>
          <w:iCs/>
          <w:sz w:val="20"/>
          <w:szCs w:val="20"/>
        </w:rPr>
        <w:t xml:space="preserve">Aspect 1 – Alt </w:t>
      </w:r>
      <w:r>
        <w:rPr>
          <w:rFonts w:hint="eastAsia"/>
          <w:b w:val="0"/>
          <w:bCs w:val="0"/>
          <w:i/>
          <w:iCs/>
          <w:sz w:val="20"/>
          <w:szCs w:val="20"/>
          <w:lang w:eastAsia="zh-CN"/>
        </w:rPr>
        <w:t>2</w:t>
      </w:r>
      <w:r>
        <w:rPr>
          <w:rFonts w:hint="eastAsia"/>
          <w:b w:val="0"/>
          <w:bCs w:val="0"/>
          <w:i/>
          <w:iCs/>
          <w:sz w:val="20"/>
          <w:szCs w:val="20"/>
          <w:lang w:val="en-US" w:eastAsia="zh-CN"/>
        </w:rPr>
        <w:t xml:space="preserve"> is slightly preferred. </w:t>
      </w:r>
    </w:p>
    <w:p>
      <w:pPr>
        <w:rPr>
          <w:rFonts w:hint="eastAsia"/>
          <w:i/>
          <w:iCs/>
          <w:lang w:val="en-US" w:eastAsia="zh-CN"/>
        </w:rPr>
      </w:pPr>
      <w:r>
        <w:rPr>
          <w:rFonts w:hint="default"/>
          <w:b/>
          <w:bCs/>
          <w:i/>
          <w:iCs/>
          <w:lang w:val="en-US" w:eastAsia="zh-CN"/>
        </w:rPr>
        <w:t xml:space="preserve">Proposal </w:t>
      </w:r>
      <w:r>
        <w:rPr>
          <w:rFonts w:hint="eastAsia"/>
          <w:b/>
          <w:bCs/>
          <w:i/>
          <w:iCs/>
          <w:lang w:val="en-US" w:eastAsia="zh-CN"/>
        </w:rPr>
        <w:t>2</w:t>
      </w:r>
      <w:r>
        <w:rPr>
          <w:rFonts w:hint="default"/>
          <w:b/>
          <w:bCs/>
          <w:i/>
          <w:iCs/>
          <w:lang w:val="en-US" w:eastAsia="zh-CN"/>
        </w:rPr>
        <w:t>:</w:t>
      </w:r>
      <w:r>
        <w:rPr>
          <w:rFonts w:hint="default"/>
          <w:i/>
          <w:iCs/>
          <w:lang w:val="en-US" w:eastAsia="zh-CN"/>
        </w:rPr>
        <w:t xml:space="preserve"> </w:t>
      </w:r>
      <w:r>
        <w:rPr>
          <w:rFonts w:hint="eastAsia"/>
          <w:i/>
          <w:iCs/>
          <w:lang w:val="en-US" w:eastAsia="zh-CN"/>
        </w:rPr>
        <w:t xml:space="preserve">Regarding </w:t>
      </w:r>
      <w:r>
        <w:rPr>
          <w:rFonts w:hint="default"/>
          <w:i/>
          <w:iCs/>
          <w:lang w:val="en-US" w:eastAsia="zh-CN"/>
        </w:rPr>
        <w:t xml:space="preserve">Aspect </w:t>
      </w:r>
      <w:r>
        <w:rPr>
          <w:rFonts w:hint="eastAsia"/>
          <w:i/>
          <w:iCs/>
          <w:lang w:val="en-US" w:eastAsia="zh-CN"/>
        </w:rPr>
        <w:t>2</w:t>
      </w:r>
      <w:r>
        <w:rPr>
          <w:rFonts w:hint="eastAsia"/>
          <w:lang w:val="en-US" w:eastAsia="zh-CN"/>
        </w:rPr>
        <w:t xml:space="preserve">, </w:t>
      </w:r>
      <w:r>
        <w:rPr>
          <w:b w:val="0"/>
          <w:bCs w:val="0"/>
          <w:i/>
          <w:iCs/>
          <w:sz w:val="20"/>
          <w:szCs w:val="20"/>
          <w:lang w:eastAsia="zh-CN"/>
        </w:rPr>
        <w:t>Aspect 2 – Interpretation 1</w:t>
      </w:r>
      <w:r>
        <w:rPr>
          <w:i/>
          <w:iCs/>
          <w:sz w:val="20"/>
          <w:szCs w:val="20"/>
          <w:lang w:eastAsia="zh-CN"/>
        </w:rPr>
        <w:t xml:space="preserve"> </w:t>
      </w:r>
      <w:r>
        <w:rPr>
          <w:rFonts w:hint="default"/>
          <w:i/>
          <w:iCs/>
          <w:lang w:val="en-US" w:eastAsia="zh-CN"/>
        </w:rPr>
        <w:t>is preferred</w:t>
      </w:r>
      <w:r>
        <w:rPr>
          <w:rFonts w:hint="eastAsia"/>
          <w:i/>
          <w:iCs/>
          <w:lang w:val="en-US" w:eastAsia="zh-CN"/>
        </w:rPr>
        <w:t xml:space="preserve">. </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3</w:t>
      </w:r>
      <w:r>
        <w:rPr>
          <w:rFonts w:hint="default"/>
          <w:b/>
          <w:bCs/>
          <w:i/>
          <w:iCs/>
          <w:lang w:val="en-US" w:eastAsia="zh-CN"/>
        </w:rPr>
        <w:t>:</w:t>
      </w:r>
      <w:r>
        <w:rPr>
          <w:rFonts w:hint="default"/>
          <w:i/>
          <w:iCs/>
          <w:lang w:val="en-US" w:eastAsia="zh-CN"/>
        </w:rPr>
        <w:t xml:space="preserve"> Both directions on the handling of filler bits are acceptable and </w:t>
      </w:r>
      <w:r>
        <w:rPr>
          <w:b w:val="0"/>
          <w:bCs w:val="0"/>
          <w:i/>
          <w:iCs/>
          <w:sz w:val="20"/>
          <w:szCs w:val="20"/>
          <w:lang w:eastAsia="zh-CN"/>
        </w:rPr>
        <w:t xml:space="preserve">Aspect 3 – Direction </w:t>
      </w:r>
      <w:r>
        <w:rPr>
          <w:rFonts w:hint="eastAsia"/>
          <w:b w:val="0"/>
          <w:bCs w:val="0"/>
          <w:i/>
          <w:iCs/>
          <w:sz w:val="20"/>
          <w:szCs w:val="20"/>
          <w:lang w:val="en-US" w:eastAsia="zh-CN"/>
        </w:rPr>
        <w:t>2</w:t>
      </w:r>
      <w:r>
        <w:rPr>
          <w:rFonts w:hint="default"/>
          <w:i/>
          <w:iCs/>
          <w:lang w:val="en-US" w:eastAsia="zh-CN"/>
        </w:rPr>
        <w:t xml:space="preserve"> is slightly preferred.</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4</w:t>
      </w:r>
      <w:r>
        <w:rPr>
          <w:rFonts w:hint="default"/>
          <w:b/>
          <w:bCs/>
          <w:i/>
          <w:iCs/>
          <w:lang w:val="en-US" w:eastAsia="zh-CN"/>
        </w:rPr>
        <w:t>:</w:t>
      </w:r>
      <w:r>
        <w:rPr>
          <w:rFonts w:hint="default"/>
          <w:i/>
          <w:iCs/>
          <w:lang w:val="en-US" w:eastAsia="zh-CN"/>
        </w:rPr>
        <w:t xml:space="preserve"> For single TBoMS transmission and no overlapping PUCCH with HARQ-ACK within a span of one PUCCH slot, if T-DAI in UL grant is not equal to 4 for Type 2 codebook or is equal to 1 for Type 1 codebook, the UE should multiplex HARQ-ACK in the PUSCH following the T-DAI in UL grant.</w:t>
      </w:r>
    </w:p>
    <w:p>
      <w:pPr>
        <w:rPr>
          <w:rFonts w:hint="default"/>
          <w:i/>
          <w:iCs/>
          <w:lang w:val="en-US" w:eastAsia="zh-CN"/>
        </w:rPr>
      </w:pPr>
      <w:r>
        <w:rPr>
          <w:rFonts w:hint="default"/>
          <w:b/>
          <w:bCs/>
          <w:i/>
          <w:iCs/>
          <w:lang w:val="en-US" w:eastAsia="zh-CN"/>
        </w:rPr>
        <w:t xml:space="preserve">Proposal </w:t>
      </w:r>
      <w:r>
        <w:rPr>
          <w:rFonts w:hint="eastAsia"/>
          <w:b/>
          <w:bCs/>
          <w:i/>
          <w:iCs/>
          <w:lang w:val="en-US" w:eastAsia="zh-CN"/>
        </w:rPr>
        <w:t>5</w:t>
      </w:r>
      <w:r>
        <w:rPr>
          <w:rFonts w:hint="default"/>
          <w:b/>
          <w:bCs/>
          <w:i/>
          <w:iCs/>
          <w:lang w:val="en-US" w:eastAsia="zh-CN"/>
        </w:rPr>
        <w:t>:</w:t>
      </w:r>
      <w:r>
        <w:rPr>
          <w:rFonts w:hint="default"/>
          <w:i/>
          <w:iCs/>
          <w:lang w:val="en-US" w:eastAsia="zh-CN"/>
        </w:rPr>
        <w:t xml:space="preserve"> One of the slots for TBoMS transmission should be specified for HARQ-ACK multiplexing if the UE does not know the PUCCH slot due to missing detection of the DL DCI and the T-DAI in the UL grant is not equal to 4 for Type 2 codebook or is equal to 1 for Type 1 codebook.</w:t>
      </w:r>
    </w:p>
    <w:p>
      <w:pPr>
        <w:pStyle w:val="2"/>
        <w:rPr>
          <w:lang w:eastAsia="zh-CN"/>
        </w:rPr>
      </w:pPr>
      <w:r>
        <w:rPr>
          <w:rFonts w:hint="eastAsia"/>
          <w:lang w:eastAsia="zh-CN"/>
        </w:rPr>
        <w:t>R</w:t>
      </w:r>
      <w:r>
        <w:rPr>
          <w:lang w:eastAsia="zh-CN"/>
        </w:rPr>
        <w:t>eference</w:t>
      </w:r>
    </w:p>
    <w:p>
      <w:pPr>
        <w:pStyle w:val="126"/>
        <w:rPr>
          <w:rFonts w:hint="default"/>
          <w:lang w:val="en-US" w:eastAsia="zh-CN"/>
        </w:rPr>
      </w:pPr>
      <w:r>
        <w:rPr>
          <w:rFonts w:hint="default"/>
          <w:lang w:val="en-US" w:eastAsia="zh-CN"/>
        </w:rPr>
        <w:t>3GPP, RAN1#107bis-e, Chairman’s notes</w:t>
      </w:r>
    </w:p>
    <w:p>
      <w:pPr>
        <w:pStyle w:val="126"/>
        <w:rPr>
          <w:rFonts w:hint="default"/>
          <w:lang w:val="en-US" w:eastAsia="zh-CN"/>
        </w:rPr>
      </w:pPr>
      <w:r>
        <w:rPr>
          <w:rFonts w:hint="default"/>
          <w:lang w:val="en-US" w:eastAsia="zh-CN"/>
        </w:rPr>
        <w:t>3GPP, RAN1#107bis-e, R1-2200752, Final FL summary of TB processing over multi-slot PUSCH (AI 8.8.1.2)</w:t>
      </w:r>
    </w:p>
    <w:p>
      <w:pPr>
        <w:pStyle w:val="126"/>
        <w:rPr>
          <w:rFonts w:hint="default"/>
          <w:lang w:val="en-US" w:eastAsia="zh-CN"/>
        </w:rPr>
      </w:pPr>
      <w:r>
        <w:rPr>
          <w:rFonts w:hint="default"/>
          <w:lang w:val="en-US" w:eastAsia="zh-CN"/>
        </w:rPr>
        <w:t>3GPP, RAN1#107-e, R1-2112859, Summary for [107-e-NR-7.1CRs-6] Issue #10: Discussion on HARQ-ACK multiplexing on PUSCH</w:t>
      </w:r>
      <w:bookmarkStart w:id="3" w:name="_GoBack"/>
      <w:bookmarkEnd w:id="3"/>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moder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195F5A"/>
    <w:multiLevelType w:val="singleLevel"/>
    <w:tmpl w:val="B2195F5A"/>
    <w:lvl w:ilvl="0" w:tentative="0">
      <w:start w:val="1"/>
      <w:numFmt w:val="bullet"/>
      <w:lvlText w:val=""/>
      <w:lvlJc w:val="left"/>
      <w:pPr>
        <w:ind w:left="420" w:hanging="420"/>
      </w:pPr>
      <w:rPr>
        <w:rFonts w:hint="default" w:ascii="Wingdings" w:hAnsi="Wingdings"/>
      </w:rPr>
    </w:lvl>
  </w:abstractNum>
  <w:abstractNum w:abstractNumId="1">
    <w:nsid w:val="BE5C92E2"/>
    <w:multiLevelType w:val="multilevel"/>
    <w:tmpl w:val="BE5C92E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7"/>
  </w:num>
  <w:num w:numId="4">
    <w:abstractNumId w:val="5"/>
  </w:num>
  <w:num w:numId="5">
    <w:abstractNumId w:val="10"/>
  </w:num>
  <w:num w:numId="6">
    <w:abstractNumId w:val="6"/>
  </w:num>
  <w:num w:numId="7">
    <w:abstractNumId w:val="4"/>
  </w:num>
  <w:num w:numId="8">
    <w:abstractNumId w:val="9"/>
  </w:num>
  <w:num w:numId="9">
    <w:abstractNumId w:val="8"/>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48"/>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96"/>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B64"/>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A919E8"/>
    <w:rsid w:val="01D9472D"/>
    <w:rsid w:val="01FC2529"/>
    <w:rsid w:val="026835F1"/>
    <w:rsid w:val="027F51D6"/>
    <w:rsid w:val="0284643E"/>
    <w:rsid w:val="029D477D"/>
    <w:rsid w:val="02C0763E"/>
    <w:rsid w:val="02CC2DF9"/>
    <w:rsid w:val="0319183E"/>
    <w:rsid w:val="03215927"/>
    <w:rsid w:val="03532C3F"/>
    <w:rsid w:val="039046B7"/>
    <w:rsid w:val="03B25C4C"/>
    <w:rsid w:val="03C4027F"/>
    <w:rsid w:val="03E442A7"/>
    <w:rsid w:val="03F94E83"/>
    <w:rsid w:val="03FC4856"/>
    <w:rsid w:val="040F0AA8"/>
    <w:rsid w:val="04144412"/>
    <w:rsid w:val="04280594"/>
    <w:rsid w:val="04633D38"/>
    <w:rsid w:val="04A410FC"/>
    <w:rsid w:val="04E2252B"/>
    <w:rsid w:val="04E46C50"/>
    <w:rsid w:val="04E51BB8"/>
    <w:rsid w:val="04F67A4D"/>
    <w:rsid w:val="04FC54BE"/>
    <w:rsid w:val="052D7565"/>
    <w:rsid w:val="05772202"/>
    <w:rsid w:val="05A246A6"/>
    <w:rsid w:val="05FA35C5"/>
    <w:rsid w:val="061F7747"/>
    <w:rsid w:val="066953FF"/>
    <w:rsid w:val="067D4C1C"/>
    <w:rsid w:val="06A864F3"/>
    <w:rsid w:val="06B127E5"/>
    <w:rsid w:val="06F146D9"/>
    <w:rsid w:val="07165FAB"/>
    <w:rsid w:val="072F2729"/>
    <w:rsid w:val="07861E5B"/>
    <w:rsid w:val="07901951"/>
    <w:rsid w:val="07A564EF"/>
    <w:rsid w:val="07C21FA9"/>
    <w:rsid w:val="07C60573"/>
    <w:rsid w:val="07F36B9B"/>
    <w:rsid w:val="08F7541D"/>
    <w:rsid w:val="09531BE1"/>
    <w:rsid w:val="0957797D"/>
    <w:rsid w:val="0972706B"/>
    <w:rsid w:val="09C21BB6"/>
    <w:rsid w:val="09EC1FC7"/>
    <w:rsid w:val="09EC74EE"/>
    <w:rsid w:val="0A2A77A5"/>
    <w:rsid w:val="0A7969DF"/>
    <w:rsid w:val="0A867EAB"/>
    <w:rsid w:val="0AC15DA7"/>
    <w:rsid w:val="0ACB6154"/>
    <w:rsid w:val="0AFC60B7"/>
    <w:rsid w:val="0B184842"/>
    <w:rsid w:val="0B6F0A8E"/>
    <w:rsid w:val="0B7F38B4"/>
    <w:rsid w:val="0BA473D0"/>
    <w:rsid w:val="0BAD20E5"/>
    <w:rsid w:val="0BAD7041"/>
    <w:rsid w:val="0BFD1C57"/>
    <w:rsid w:val="0C1F1F86"/>
    <w:rsid w:val="0C5123A8"/>
    <w:rsid w:val="0C6F5654"/>
    <w:rsid w:val="0C7214C8"/>
    <w:rsid w:val="0C984199"/>
    <w:rsid w:val="0CF069CB"/>
    <w:rsid w:val="0D132BA9"/>
    <w:rsid w:val="0D423CF3"/>
    <w:rsid w:val="0D5B0F38"/>
    <w:rsid w:val="0D5D345F"/>
    <w:rsid w:val="0D660AC2"/>
    <w:rsid w:val="0D672BF6"/>
    <w:rsid w:val="0D704096"/>
    <w:rsid w:val="0D80043B"/>
    <w:rsid w:val="0D910425"/>
    <w:rsid w:val="0DBB1A46"/>
    <w:rsid w:val="0DF918A9"/>
    <w:rsid w:val="0E120AD5"/>
    <w:rsid w:val="0E315E93"/>
    <w:rsid w:val="0E3D4667"/>
    <w:rsid w:val="0E8464BD"/>
    <w:rsid w:val="0E862F3F"/>
    <w:rsid w:val="0E9D6013"/>
    <w:rsid w:val="0EB06FFE"/>
    <w:rsid w:val="0EC57FE4"/>
    <w:rsid w:val="0F1177DE"/>
    <w:rsid w:val="0F196779"/>
    <w:rsid w:val="0F6B449B"/>
    <w:rsid w:val="0F997ACA"/>
    <w:rsid w:val="0F9C00AF"/>
    <w:rsid w:val="0FEE0729"/>
    <w:rsid w:val="10150A41"/>
    <w:rsid w:val="102F7219"/>
    <w:rsid w:val="103C4085"/>
    <w:rsid w:val="10B52074"/>
    <w:rsid w:val="10B93D5D"/>
    <w:rsid w:val="11001DB4"/>
    <w:rsid w:val="11262B46"/>
    <w:rsid w:val="115629E6"/>
    <w:rsid w:val="11572DD1"/>
    <w:rsid w:val="11686329"/>
    <w:rsid w:val="119646EF"/>
    <w:rsid w:val="11AF0C3A"/>
    <w:rsid w:val="11DC793A"/>
    <w:rsid w:val="12300753"/>
    <w:rsid w:val="1241192F"/>
    <w:rsid w:val="1257267A"/>
    <w:rsid w:val="12602B9D"/>
    <w:rsid w:val="12A472D8"/>
    <w:rsid w:val="12BA4D2B"/>
    <w:rsid w:val="12F015F0"/>
    <w:rsid w:val="12FE321B"/>
    <w:rsid w:val="130859B8"/>
    <w:rsid w:val="133D5B30"/>
    <w:rsid w:val="135C64DF"/>
    <w:rsid w:val="137E61B0"/>
    <w:rsid w:val="13D91C28"/>
    <w:rsid w:val="141F2191"/>
    <w:rsid w:val="142A7523"/>
    <w:rsid w:val="1430598A"/>
    <w:rsid w:val="14A20661"/>
    <w:rsid w:val="14DD01BC"/>
    <w:rsid w:val="154567F6"/>
    <w:rsid w:val="15493DAC"/>
    <w:rsid w:val="15604ABA"/>
    <w:rsid w:val="157101B4"/>
    <w:rsid w:val="1575AEB2"/>
    <w:rsid w:val="15836BA2"/>
    <w:rsid w:val="164F7F6D"/>
    <w:rsid w:val="165E068A"/>
    <w:rsid w:val="16BD383B"/>
    <w:rsid w:val="1702D3F2"/>
    <w:rsid w:val="17230415"/>
    <w:rsid w:val="17A36C4C"/>
    <w:rsid w:val="17A625DA"/>
    <w:rsid w:val="17B77676"/>
    <w:rsid w:val="1804727A"/>
    <w:rsid w:val="182A067F"/>
    <w:rsid w:val="187A6D56"/>
    <w:rsid w:val="18841E90"/>
    <w:rsid w:val="188D2058"/>
    <w:rsid w:val="18BA7603"/>
    <w:rsid w:val="18FD3F86"/>
    <w:rsid w:val="19235F0B"/>
    <w:rsid w:val="192B740B"/>
    <w:rsid w:val="192D5C32"/>
    <w:rsid w:val="193765D7"/>
    <w:rsid w:val="193F26F1"/>
    <w:rsid w:val="19497C62"/>
    <w:rsid w:val="196337C8"/>
    <w:rsid w:val="198A694D"/>
    <w:rsid w:val="19980545"/>
    <w:rsid w:val="19A063D4"/>
    <w:rsid w:val="19CA09F8"/>
    <w:rsid w:val="19E117C3"/>
    <w:rsid w:val="19F73CC7"/>
    <w:rsid w:val="19FA7F54"/>
    <w:rsid w:val="1A347816"/>
    <w:rsid w:val="1A514204"/>
    <w:rsid w:val="1A884F76"/>
    <w:rsid w:val="1AD44303"/>
    <w:rsid w:val="1AFB1F5A"/>
    <w:rsid w:val="1B190B48"/>
    <w:rsid w:val="1B2E6DC7"/>
    <w:rsid w:val="1B30699D"/>
    <w:rsid w:val="1B5316CE"/>
    <w:rsid w:val="1B5E59D2"/>
    <w:rsid w:val="1B8650AC"/>
    <w:rsid w:val="1B9328C0"/>
    <w:rsid w:val="1BAA19D4"/>
    <w:rsid w:val="1BF579B9"/>
    <w:rsid w:val="1C395FFB"/>
    <w:rsid w:val="1C6013C8"/>
    <w:rsid w:val="1C766428"/>
    <w:rsid w:val="1C874259"/>
    <w:rsid w:val="1CF33FF3"/>
    <w:rsid w:val="1D2E6F92"/>
    <w:rsid w:val="1D38234F"/>
    <w:rsid w:val="1D4B6511"/>
    <w:rsid w:val="1D685B1E"/>
    <w:rsid w:val="1D7806A7"/>
    <w:rsid w:val="1DA71CFD"/>
    <w:rsid w:val="1DAB29A2"/>
    <w:rsid w:val="1DC3039C"/>
    <w:rsid w:val="1DD50930"/>
    <w:rsid w:val="1DE66DDE"/>
    <w:rsid w:val="1DEE1CB6"/>
    <w:rsid w:val="1DF407BB"/>
    <w:rsid w:val="1E38003B"/>
    <w:rsid w:val="1E4207AD"/>
    <w:rsid w:val="1E4A56A9"/>
    <w:rsid w:val="1E5366C1"/>
    <w:rsid w:val="1E5564BA"/>
    <w:rsid w:val="1F4C4865"/>
    <w:rsid w:val="1F850095"/>
    <w:rsid w:val="1FB91CD0"/>
    <w:rsid w:val="1FBD523C"/>
    <w:rsid w:val="1FC627E2"/>
    <w:rsid w:val="1FD85109"/>
    <w:rsid w:val="1FDA5618"/>
    <w:rsid w:val="20392AB6"/>
    <w:rsid w:val="20407EE3"/>
    <w:rsid w:val="2045313C"/>
    <w:rsid w:val="20750BDD"/>
    <w:rsid w:val="20910CB1"/>
    <w:rsid w:val="20CD42FE"/>
    <w:rsid w:val="20D72496"/>
    <w:rsid w:val="20DD44A9"/>
    <w:rsid w:val="20E72124"/>
    <w:rsid w:val="20EA6C81"/>
    <w:rsid w:val="20F4557F"/>
    <w:rsid w:val="2102102E"/>
    <w:rsid w:val="21035A99"/>
    <w:rsid w:val="210811E1"/>
    <w:rsid w:val="210D039E"/>
    <w:rsid w:val="21266481"/>
    <w:rsid w:val="21282288"/>
    <w:rsid w:val="214B4914"/>
    <w:rsid w:val="21692244"/>
    <w:rsid w:val="218A241C"/>
    <w:rsid w:val="21942DDB"/>
    <w:rsid w:val="21E84CEC"/>
    <w:rsid w:val="21FA58F2"/>
    <w:rsid w:val="2201038D"/>
    <w:rsid w:val="229E5ACA"/>
    <w:rsid w:val="22C62A0D"/>
    <w:rsid w:val="22C66D30"/>
    <w:rsid w:val="23247878"/>
    <w:rsid w:val="23680C07"/>
    <w:rsid w:val="239E142D"/>
    <w:rsid w:val="23AF7474"/>
    <w:rsid w:val="23C901FD"/>
    <w:rsid w:val="23EA21A8"/>
    <w:rsid w:val="245248A3"/>
    <w:rsid w:val="245870DE"/>
    <w:rsid w:val="247247A7"/>
    <w:rsid w:val="2473146A"/>
    <w:rsid w:val="24927781"/>
    <w:rsid w:val="24956530"/>
    <w:rsid w:val="24A768B2"/>
    <w:rsid w:val="251F4569"/>
    <w:rsid w:val="258728BF"/>
    <w:rsid w:val="25B371B9"/>
    <w:rsid w:val="25D26E45"/>
    <w:rsid w:val="26335F86"/>
    <w:rsid w:val="268C60B5"/>
    <w:rsid w:val="26B04FB4"/>
    <w:rsid w:val="27470D0A"/>
    <w:rsid w:val="275B67F9"/>
    <w:rsid w:val="275E699A"/>
    <w:rsid w:val="2793390D"/>
    <w:rsid w:val="27C5366D"/>
    <w:rsid w:val="27DD67CA"/>
    <w:rsid w:val="28384A79"/>
    <w:rsid w:val="2839733E"/>
    <w:rsid w:val="28690808"/>
    <w:rsid w:val="28B07E55"/>
    <w:rsid w:val="28B54AA2"/>
    <w:rsid w:val="290D64D6"/>
    <w:rsid w:val="29441D0D"/>
    <w:rsid w:val="294D6347"/>
    <w:rsid w:val="29C2594E"/>
    <w:rsid w:val="29E50AC8"/>
    <w:rsid w:val="2A0F0B23"/>
    <w:rsid w:val="2A52459E"/>
    <w:rsid w:val="2A5A3CF7"/>
    <w:rsid w:val="2A5E31FB"/>
    <w:rsid w:val="2AC65A40"/>
    <w:rsid w:val="2AD201BE"/>
    <w:rsid w:val="2AD7786F"/>
    <w:rsid w:val="2AFE2B7E"/>
    <w:rsid w:val="2B1B7019"/>
    <w:rsid w:val="2B5D7AD6"/>
    <w:rsid w:val="2B7E5327"/>
    <w:rsid w:val="2B8E5174"/>
    <w:rsid w:val="2BB07384"/>
    <w:rsid w:val="2C5D0FC2"/>
    <w:rsid w:val="2C731E01"/>
    <w:rsid w:val="2C880E99"/>
    <w:rsid w:val="2CD57B0B"/>
    <w:rsid w:val="2CE84050"/>
    <w:rsid w:val="2CF0147F"/>
    <w:rsid w:val="2D037341"/>
    <w:rsid w:val="2D376513"/>
    <w:rsid w:val="2D3805E9"/>
    <w:rsid w:val="2D3B55CA"/>
    <w:rsid w:val="2D870424"/>
    <w:rsid w:val="2D902A98"/>
    <w:rsid w:val="2DC863F1"/>
    <w:rsid w:val="2E0F275C"/>
    <w:rsid w:val="2E194A96"/>
    <w:rsid w:val="2E2E5FB6"/>
    <w:rsid w:val="2E4D45F8"/>
    <w:rsid w:val="2E500B54"/>
    <w:rsid w:val="2EA315DD"/>
    <w:rsid w:val="2EB72406"/>
    <w:rsid w:val="2EE35AD4"/>
    <w:rsid w:val="2F121AD6"/>
    <w:rsid w:val="2F2367DE"/>
    <w:rsid w:val="2F4443E0"/>
    <w:rsid w:val="2F4D540F"/>
    <w:rsid w:val="2F797B38"/>
    <w:rsid w:val="2F994058"/>
    <w:rsid w:val="2FA773D4"/>
    <w:rsid w:val="2FF17CD6"/>
    <w:rsid w:val="30147C32"/>
    <w:rsid w:val="30637F07"/>
    <w:rsid w:val="30E04230"/>
    <w:rsid w:val="31542D3B"/>
    <w:rsid w:val="318B5075"/>
    <w:rsid w:val="31BA2C9B"/>
    <w:rsid w:val="31EB7BF1"/>
    <w:rsid w:val="32363829"/>
    <w:rsid w:val="3245071E"/>
    <w:rsid w:val="32832752"/>
    <w:rsid w:val="32CB5D97"/>
    <w:rsid w:val="32ED434C"/>
    <w:rsid w:val="32FE23BF"/>
    <w:rsid w:val="33006AEC"/>
    <w:rsid w:val="330E6893"/>
    <w:rsid w:val="331628B8"/>
    <w:rsid w:val="336F3742"/>
    <w:rsid w:val="3381468D"/>
    <w:rsid w:val="339F1C94"/>
    <w:rsid w:val="33DE0CB9"/>
    <w:rsid w:val="344F6A36"/>
    <w:rsid w:val="34B3395F"/>
    <w:rsid w:val="34B93E20"/>
    <w:rsid w:val="34C13D72"/>
    <w:rsid w:val="34C6564E"/>
    <w:rsid w:val="34E875BF"/>
    <w:rsid w:val="350F1170"/>
    <w:rsid w:val="3511129D"/>
    <w:rsid w:val="351A406B"/>
    <w:rsid w:val="354B66B7"/>
    <w:rsid w:val="354F2DC1"/>
    <w:rsid w:val="357D45BC"/>
    <w:rsid w:val="359455FE"/>
    <w:rsid w:val="36484FC1"/>
    <w:rsid w:val="366679F6"/>
    <w:rsid w:val="369270E4"/>
    <w:rsid w:val="36CD07B0"/>
    <w:rsid w:val="37153A8B"/>
    <w:rsid w:val="373C5C66"/>
    <w:rsid w:val="375C57D7"/>
    <w:rsid w:val="37B25272"/>
    <w:rsid w:val="37DD651E"/>
    <w:rsid w:val="37EA1F50"/>
    <w:rsid w:val="385A4D4A"/>
    <w:rsid w:val="38A94A77"/>
    <w:rsid w:val="38BA113F"/>
    <w:rsid w:val="38BA71F3"/>
    <w:rsid w:val="38E27DEC"/>
    <w:rsid w:val="391609BB"/>
    <w:rsid w:val="392E6400"/>
    <w:rsid w:val="393C3987"/>
    <w:rsid w:val="39937B6F"/>
    <w:rsid w:val="39B82059"/>
    <w:rsid w:val="39D31BEF"/>
    <w:rsid w:val="39FE11BA"/>
    <w:rsid w:val="3A0677A1"/>
    <w:rsid w:val="3A0F0E32"/>
    <w:rsid w:val="3A135075"/>
    <w:rsid w:val="3A3968C0"/>
    <w:rsid w:val="3A4C1C4E"/>
    <w:rsid w:val="3A505EF3"/>
    <w:rsid w:val="3A563658"/>
    <w:rsid w:val="3A632979"/>
    <w:rsid w:val="3A6700B5"/>
    <w:rsid w:val="3A791519"/>
    <w:rsid w:val="3A8424B5"/>
    <w:rsid w:val="3A867AE8"/>
    <w:rsid w:val="3A897973"/>
    <w:rsid w:val="3AB31D0C"/>
    <w:rsid w:val="3AB44E1C"/>
    <w:rsid w:val="3AD97E3A"/>
    <w:rsid w:val="3B141B02"/>
    <w:rsid w:val="3B1C30D7"/>
    <w:rsid w:val="3B3961CE"/>
    <w:rsid w:val="3B4A3B53"/>
    <w:rsid w:val="3B5651BA"/>
    <w:rsid w:val="3B8B323D"/>
    <w:rsid w:val="3B94063F"/>
    <w:rsid w:val="3BDE4D0D"/>
    <w:rsid w:val="3BF47021"/>
    <w:rsid w:val="3C1C5A4E"/>
    <w:rsid w:val="3C3A013B"/>
    <w:rsid w:val="3C3D7B3D"/>
    <w:rsid w:val="3C795A31"/>
    <w:rsid w:val="3C923082"/>
    <w:rsid w:val="3CE52B1C"/>
    <w:rsid w:val="3D0354C7"/>
    <w:rsid w:val="3D503759"/>
    <w:rsid w:val="3D526BA9"/>
    <w:rsid w:val="3D5C6F45"/>
    <w:rsid w:val="3D7642C9"/>
    <w:rsid w:val="3D7F5A28"/>
    <w:rsid w:val="3D805F24"/>
    <w:rsid w:val="3DAA038F"/>
    <w:rsid w:val="3DDA6D42"/>
    <w:rsid w:val="3DE26C3E"/>
    <w:rsid w:val="3DE85362"/>
    <w:rsid w:val="3E01783E"/>
    <w:rsid w:val="3E0C51D1"/>
    <w:rsid w:val="3E3769E2"/>
    <w:rsid w:val="3E4165FB"/>
    <w:rsid w:val="3E7347F4"/>
    <w:rsid w:val="3E8552C0"/>
    <w:rsid w:val="3E85534F"/>
    <w:rsid w:val="3E922DCB"/>
    <w:rsid w:val="3EF83C43"/>
    <w:rsid w:val="3F01664D"/>
    <w:rsid w:val="3F175FC8"/>
    <w:rsid w:val="3F1A4DA4"/>
    <w:rsid w:val="3F374493"/>
    <w:rsid w:val="3F46399B"/>
    <w:rsid w:val="3F4A203A"/>
    <w:rsid w:val="3F66775D"/>
    <w:rsid w:val="3F747BDB"/>
    <w:rsid w:val="3F926FEA"/>
    <w:rsid w:val="3FD010A5"/>
    <w:rsid w:val="3FDC7494"/>
    <w:rsid w:val="401A7BA3"/>
    <w:rsid w:val="401C2F16"/>
    <w:rsid w:val="40850DCD"/>
    <w:rsid w:val="41310486"/>
    <w:rsid w:val="413224B2"/>
    <w:rsid w:val="41580881"/>
    <w:rsid w:val="41752F77"/>
    <w:rsid w:val="418073CC"/>
    <w:rsid w:val="41A75CD3"/>
    <w:rsid w:val="41AC1D9C"/>
    <w:rsid w:val="41E90AD7"/>
    <w:rsid w:val="41FE519E"/>
    <w:rsid w:val="4207424C"/>
    <w:rsid w:val="42143E22"/>
    <w:rsid w:val="4242619A"/>
    <w:rsid w:val="42B20782"/>
    <w:rsid w:val="4325249C"/>
    <w:rsid w:val="43444545"/>
    <w:rsid w:val="4345438E"/>
    <w:rsid w:val="434D41C7"/>
    <w:rsid w:val="438741B0"/>
    <w:rsid w:val="43FB64BE"/>
    <w:rsid w:val="44024A8B"/>
    <w:rsid w:val="448B6627"/>
    <w:rsid w:val="44917C93"/>
    <w:rsid w:val="44B612FA"/>
    <w:rsid w:val="44BA4099"/>
    <w:rsid w:val="44D1088A"/>
    <w:rsid w:val="44F04ED5"/>
    <w:rsid w:val="44F973D9"/>
    <w:rsid w:val="459F6357"/>
    <w:rsid w:val="45FF0F27"/>
    <w:rsid w:val="463E117E"/>
    <w:rsid w:val="464D0D0B"/>
    <w:rsid w:val="46547891"/>
    <w:rsid w:val="467320E7"/>
    <w:rsid w:val="4684407C"/>
    <w:rsid w:val="468E37DA"/>
    <w:rsid w:val="46D41E44"/>
    <w:rsid w:val="46E66DC4"/>
    <w:rsid w:val="46E6761D"/>
    <w:rsid w:val="46F114A1"/>
    <w:rsid w:val="4741534B"/>
    <w:rsid w:val="47AE2F53"/>
    <w:rsid w:val="47D53EDA"/>
    <w:rsid w:val="47F6467C"/>
    <w:rsid w:val="47FA0721"/>
    <w:rsid w:val="483B1BF1"/>
    <w:rsid w:val="487C2B41"/>
    <w:rsid w:val="48D53256"/>
    <w:rsid w:val="48ED2CFA"/>
    <w:rsid w:val="48EF4086"/>
    <w:rsid w:val="4938700D"/>
    <w:rsid w:val="49446ABC"/>
    <w:rsid w:val="496938E0"/>
    <w:rsid w:val="4986043B"/>
    <w:rsid w:val="49882B35"/>
    <w:rsid w:val="499E6630"/>
    <w:rsid w:val="49A91145"/>
    <w:rsid w:val="49EE33AB"/>
    <w:rsid w:val="4A8F1807"/>
    <w:rsid w:val="4AA720A1"/>
    <w:rsid w:val="4AB22D3D"/>
    <w:rsid w:val="4B0D39CA"/>
    <w:rsid w:val="4B3872E6"/>
    <w:rsid w:val="4B425BC8"/>
    <w:rsid w:val="4B816508"/>
    <w:rsid w:val="4B822C56"/>
    <w:rsid w:val="4B8734F4"/>
    <w:rsid w:val="4BA329C5"/>
    <w:rsid w:val="4BC6334A"/>
    <w:rsid w:val="4BD33F29"/>
    <w:rsid w:val="4BFB5CA4"/>
    <w:rsid w:val="4BFC1ADF"/>
    <w:rsid w:val="4C611769"/>
    <w:rsid w:val="4C7B7D51"/>
    <w:rsid w:val="4C822291"/>
    <w:rsid w:val="4C88486D"/>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37D83"/>
    <w:rsid w:val="4EC57BBB"/>
    <w:rsid w:val="4ECF3669"/>
    <w:rsid w:val="4EEC6143"/>
    <w:rsid w:val="4F194024"/>
    <w:rsid w:val="4F1A4632"/>
    <w:rsid w:val="4F500C16"/>
    <w:rsid w:val="4F7E4F09"/>
    <w:rsid w:val="4FDB228E"/>
    <w:rsid w:val="4FE3050E"/>
    <w:rsid w:val="50196694"/>
    <w:rsid w:val="50946E51"/>
    <w:rsid w:val="50CD6950"/>
    <w:rsid w:val="50E93299"/>
    <w:rsid w:val="50F1238E"/>
    <w:rsid w:val="50FD13B2"/>
    <w:rsid w:val="5125709E"/>
    <w:rsid w:val="513E16AC"/>
    <w:rsid w:val="517174BB"/>
    <w:rsid w:val="51DA1198"/>
    <w:rsid w:val="52546F3F"/>
    <w:rsid w:val="527A1D76"/>
    <w:rsid w:val="52932641"/>
    <w:rsid w:val="52AA6BF6"/>
    <w:rsid w:val="52BB6452"/>
    <w:rsid w:val="52FE30BB"/>
    <w:rsid w:val="52FE6B60"/>
    <w:rsid w:val="534D67C2"/>
    <w:rsid w:val="535564DE"/>
    <w:rsid w:val="536E79E7"/>
    <w:rsid w:val="53742E9C"/>
    <w:rsid w:val="539E422E"/>
    <w:rsid w:val="53AA331E"/>
    <w:rsid w:val="53B442DB"/>
    <w:rsid w:val="53C25107"/>
    <w:rsid w:val="53CA6193"/>
    <w:rsid w:val="54197AD0"/>
    <w:rsid w:val="541C1FEE"/>
    <w:rsid w:val="543314F7"/>
    <w:rsid w:val="54340479"/>
    <w:rsid w:val="545200D3"/>
    <w:rsid w:val="54920CC3"/>
    <w:rsid w:val="54CE2507"/>
    <w:rsid w:val="54F930BC"/>
    <w:rsid w:val="55181CD2"/>
    <w:rsid w:val="551B72C1"/>
    <w:rsid w:val="553C09BC"/>
    <w:rsid w:val="55701D28"/>
    <w:rsid w:val="55841CFB"/>
    <w:rsid w:val="55AE17B8"/>
    <w:rsid w:val="55C56E35"/>
    <w:rsid w:val="55CA1D79"/>
    <w:rsid w:val="55D01D97"/>
    <w:rsid w:val="567275A6"/>
    <w:rsid w:val="56B91FB3"/>
    <w:rsid w:val="56D00DA3"/>
    <w:rsid w:val="56DC0CE2"/>
    <w:rsid w:val="56DC5354"/>
    <w:rsid w:val="57032C03"/>
    <w:rsid w:val="57244B18"/>
    <w:rsid w:val="572B62DF"/>
    <w:rsid w:val="572C238F"/>
    <w:rsid w:val="57A338C4"/>
    <w:rsid w:val="57C3516C"/>
    <w:rsid w:val="57E675AF"/>
    <w:rsid w:val="57EF6871"/>
    <w:rsid w:val="57F4177E"/>
    <w:rsid w:val="580D2B9F"/>
    <w:rsid w:val="58240039"/>
    <w:rsid w:val="583E67FE"/>
    <w:rsid w:val="58400129"/>
    <w:rsid w:val="585E498C"/>
    <w:rsid w:val="585F180A"/>
    <w:rsid w:val="587970AE"/>
    <w:rsid w:val="58827E54"/>
    <w:rsid w:val="58A143C6"/>
    <w:rsid w:val="58F433FF"/>
    <w:rsid w:val="595A121E"/>
    <w:rsid w:val="59C65DC2"/>
    <w:rsid w:val="59C75644"/>
    <w:rsid w:val="5A7A0260"/>
    <w:rsid w:val="5A814BDD"/>
    <w:rsid w:val="5AA758C9"/>
    <w:rsid w:val="5AB5526E"/>
    <w:rsid w:val="5AC54FDB"/>
    <w:rsid w:val="5AF07FF7"/>
    <w:rsid w:val="5AF422E5"/>
    <w:rsid w:val="5AF7276E"/>
    <w:rsid w:val="5B3B7F82"/>
    <w:rsid w:val="5B58660F"/>
    <w:rsid w:val="5B647D05"/>
    <w:rsid w:val="5B6858CF"/>
    <w:rsid w:val="5B8508B6"/>
    <w:rsid w:val="5B8D1FED"/>
    <w:rsid w:val="5BA105AC"/>
    <w:rsid w:val="5BC940E0"/>
    <w:rsid w:val="5BD85C98"/>
    <w:rsid w:val="5BF26431"/>
    <w:rsid w:val="5BFA172C"/>
    <w:rsid w:val="5C494988"/>
    <w:rsid w:val="5C880332"/>
    <w:rsid w:val="5CB57D16"/>
    <w:rsid w:val="5CD36306"/>
    <w:rsid w:val="5CE549FC"/>
    <w:rsid w:val="5D023328"/>
    <w:rsid w:val="5D1D2554"/>
    <w:rsid w:val="5D2F7CD6"/>
    <w:rsid w:val="5D7D4759"/>
    <w:rsid w:val="5D830A96"/>
    <w:rsid w:val="5E0115A0"/>
    <w:rsid w:val="5E5E0C68"/>
    <w:rsid w:val="5E780DEA"/>
    <w:rsid w:val="5E9D367C"/>
    <w:rsid w:val="5EDE4AA5"/>
    <w:rsid w:val="5EE65C96"/>
    <w:rsid w:val="5F5622E4"/>
    <w:rsid w:val="5F631FA8"/>
    <w:rsid w:val="5F6D0E63"/>
    <w:rsid w:val="5F721888"/>
    <w:rsid w:val="5F750B1F"/>
    <w:rsid w:val="5F8A32D2"/>
    <w:rsid w:val="5F9631F8"/>
    <w:rsid w:val="60440F72"/>
    <w:rsid w:val="605104DD"/>
    <w:rsid w:val="6071382F"/>
    <w:rsid w:val="60867BFB"/>
    <w:rsid w:val="60871227"/>
    <w:rsid w:val="609430EC"/>
    <w:rsid w:val="60AC41CD"/>
    <w:rsid w:val="6133512D"/>
    <w:rsid w:val="614566A2"/>
    <w:rsid w:val="61663C93"/>
    <w:rsid w:val="61997FE5"/>
    <w:rsid w:val="61AD3F41"/>
    <w:rsid w:val="61AF6C07"/>
    <w:rsid w:val="61BF3EA8"/>
    <w:rsid w:val="61E93730"/>
    <w:rsid w:val="62591EBD"/>
    <w:rsid w:val="632D3B23"/>
    <w:rsid w:val="6386412B"/>
    <w:rsid w:val="639000ED"/>
    <w:rsid w:val="63A44F76"/>
    <w:rsid w:val="63B64891"/>
    <w:rsid w:val="63BC2D1F"/>
    <w:rsid w:val="64165B94"/>
    <w:rsid w:val="642908DF"/>
    <w:rsid w:val="6456298D"/>
    <w:rsid w:val="645A2367"/>
    <w:rsid w:val="6493513A"/>
    <w:rsid w:val="64FE5F12"/>
    <w:rsid w:val="654B48AE"/>
    <w:rsid w:val="65507243"/>
    <w:rsid w:val="65576B9C"/>
    <w:rsid w:val="656027FF"/>
    <w:rsid w:val="65891AB8"/>
    <w:rsid w:val="65A11FA4"/>
    <w:rsid w:val="65B11FF7"/>
    <w:rsid w:val="65BA58F3"/>
    <w:rsid w:val="65E40246"/>
    <w:rsid w:val="65EE6F7E"/>
    <w:rsid w:val="66410285"/>
    <w:rsid w:val="66457E51"/>
    <w:rsid w:val="664A0A82"/>
    <w:rsid w:val="6650714A"/>
    <w:rsid w:val="6680376E"/>
    <w:rsid w:val="66ED31EA"/>
    <w:rsid w:val="6706261C"/>
    <w:rsid w:val="6754041A"/>
    <w:rsid w:val="67BF1301"/>
    <w:rsid w:val="67E120F3"/>
    <w:rsid w:val="67E72DEC"/>
    <w:rsid w:val="67FA3E47"/>
    <w:rsid w:val="68085293"/>
    <w:rsid w:val="68254CA5"/>
    <w:rsid w:val="683D13F5"/>
    <w:rsid w:val="6851376E"/>
    <w:rsid w:val="686C0043"/>
    <w:rsid w:val="686C31D7"/>
    <w:rsid w:val="6896235A"/>
    <w:rsid w:val="689947BF"/>
    <w:rsid w:val="68F07009"/>
    <w:rsid w:val="690A49BA"/>
    <w:rsid w:val="691A3243"/>
    <w:rsid w:val="69631CC1"/>
    <w:rsid w:val="696C42BB"/>
    <w:rsid w:val="697626F7"/>
    <w:rsid w:val="698A6B0F"/>
    <w:rsid w:val="69BA4D2E"/>
    <w:rsid w:val="69D232C1"/>
    <w:rsid w:val="6A0C3E20"/>
    <w:rsid w:val="6A0F7B28"/>
    <w:rsid w:val="6A27755C"/>
    <w:rsid w:val="6A782EAA"/>
    <w:rsid w:val="6ABA7E95"/>
    <w:rsid w:val="6AC678E7"/>
    <w:rsid w:val="6B4577D7"/>
    <w:rsid w:val="6B4E3F04"/>
    <w:rsid w:val="6B5814F8"/>
    <w:rsid w:val="6B58578D"/>
    <w:rsid w:val="6B5F2CCD"/>
    <w:rsid w:val="6B704279"/>
    <w:rsid w:val="6BB753C9"/>
    <w:rsid w:val="6BD06E0B"/>
    <w:rsid w:val="6C4E23A0"/>
    <w:rsid w:val="6C8E495B"/>
    <w:rsid w:val="6C911A64"/>
    <w:rsid w:val="6CCC0C2E"/>
    <w:rsid w:val="6D020EA1"/>
    <w:rsid w:val="6D221C0A"/>
    <w:rsid w:val="6D78666A"/>
    <w:rsid w:val="6DD86485"/>
    <w:rsid w:val="6E0F1211"/>
    <w:rsid w:val="6EF677CA"/>
    <w:rsid w:val="6F560EDF"/>
    <w:rsid w:val="6F60096A"/>
    <w:rsid w:val="6F64491D"/>
    <w:rsid w:val="6F6E1156"/>
    <w:rsid w:val="6F8A4B60"/>
    <w:rsid w:val="6FBD0858"/>
    <w:rsid w:val="70180E63"/>
    <w:rsid w:val="705D2126"/>
    <w:rsid w:val="70A63951"/>
    <w:rsid w:val="70B37BD3"/>
    <w:rsid w:val="70CF6A45"/>
    <w:rsid w:val="70F219CB"/>
    <w:rsid w:val="711B1DE7"/>
    <w:rsid w:val="71327C99"/>
    <w:rsid w:val="7150596E"/>
    <w:rsid w:val="71747BAE"/>
    <w:rsid w:val="71786A0F"/>
    <w:rsid w:val="71957047"/>
    <w:rsid w:val="71B7115A"/>
    <w:rsid w:val="71C7583B"/>
    <w:rsid w:val="71D2397D"/>
    <w:rsid w:val="71E96A7A"/>
    <w:rsid w:val="71F715BA"/>
    <w:rsid w:val="722D1013"/>
    <w:rsid w:val="727611CD"/>
    <w:rsid w:val="72807734"/>
    <w:rsid w:val="72925464"/>
    <w:rsid w:val="72940930"/>
    <w:rsid w:val="72DF5C92"/>
    <w:rsid w:val="72E1752D"/>
    <w:rsid w:val="72E4751A"/>
    <w:rsid w:val="72F06546"/>
    <w:rsid w:val="73070EC2"/>
    <w:rsid w:val="731C432C"/>
    <w:rsid w:val="73291A5F"/>
    <w:rsid w:val="73311390"/>
    <w:rsid w:val="73563745"/>
    <w:rsid w:val="739429BE"/>
    <w:rsid w:val="73A015C2"/>
    <w:rsid w:val="73A913CF"/>
    <w:rsid w:val="73C4277F"/>
    <w:rsid w:val="73EB1497"/>
    <w:rsid w:val="74000A47"/>
    <w:rsid w:val="74155ACF"/>
    <w:rsid w:val="74181B33"/>
    <w:rsid w:val="741B2927"/>
    <w:rsid w:val="741E3589"/>
    <w:rsid w:val="74885606"/>
    <w:rsid w:val="74B93719"/>
    <w:rsid w:val="74DE1C4C"/>
    <w:rsid w:val="74E008E0"/>
    <w:rsid w:val="751115BE"/>
    <w:rsid w:val="752D1850"/>
    <w:rsid w:val="75740E00"/>
    <w:rsid w:val="759D5584"/>
    <w:rsid w:val="76185042"/>
    <w:rsid w:val="763A080C"/>
    <w:rsid w:val="76EB5B39"/>
    <w:rsid w:val="76F23BDD"/>
    <w:rsid w:val="77226532"/>
    <w:rsid w:val="774A235B"/>
    <w:rsid w:val="776F4F23"/>
    <w:rsid w:val="777F7E9E"/>
    <w:rsid w:val="77A456E6"/>
    <w:rsid w:val="77B7463B"/>
    <w:rsid w:val="77C07B7E"/>
    <w:rsid w:val="78156E78"/>
    <w:rsid w:val="782D5EAF"/>
    <w:rsid w:val="786302A1"/>
    <w:rsid w:val="789F1175"/>
    <w:rsid w:val="78A707CB"/>
    <w:rsid w:val="78B12751"/>
    <w:rsid w:val="792E4191"/>
    <w:rsid w:val="7931734A"/>
    <w:rsid w:val="796E028F"/>
    <w:rsid w:val="79AF12CA"/>
    <w:rsid w:val="79E61537"/>
    <w:rsid w:val="7A3D1E89"/>
    <w:rsid w:val="7A601B54"/>
    <w:rsid w:val="7A6A7EDA"/>
    <w:rsid w:val="7A6D2733"/>
    <w:rsid w:val="7A793925"/>
    <w:rsid w:val="7A9742EF"/>
    <w:rsid w:val="7A990897"/>
    <w:rsid w:val="7AA1368B"/>
    <w:rsid w:val="7ADB38D4"/>
    <w:rsid w:val="7B632E6A"/>
    <w:rsid w:val="7BA47128"/>
    <w:rsid w:val="7BD0716D"/>
    <w:rsid w:val="7BD70C05"/>
    <w:rsid w:val="7BF178BE"/>
    <w:rsid w:val="7C162975"/>
    <w:rsid w:val="7C7C706C"/>
    <w:rsid w:val="7C857BC3"/>
    <w:rsid w:val="7C9F6057"/>
    <w:rsid w:val="7CA72D12"/>
    <w:rsid w:val="7CFC59C6"/>
    <w:rsid w:val="7D1320C4"/>
    <w:rsid w:val="7D3C13AA"/>
    <w:rsid w:val="7D494141"/>
    <w:rsid w:val="7DAD07DC"/>
    <w:rsid w:val="7DBC5A56"/>
    <w:rsid w:val="7DD2691C"/>
    <w:rsid w:val="7DFA3D71"/>
    <w:rsid w:val="7E237976"/>
    <w:rsid w:val="7E3563A1"/>
    <w:rsid w:val="7E387110"/>
    <w:rsid w:val="7E9326F9"/>
    <w:rsid w:val="7EE20452"/>
    <w:rsid w:val="7EED743D"/>
    <w:rsid w:val="7F0C7F31"/>
    <w:rsid w:val="7F395D9C"/>
    <w:rsid w:val="7F3F684B"/>
    <w:rsid w:val="7F545F8F"/>
    <w:rsid w:val="7FBA0776"/>
    <w:rsid w:val="7FBB1F45"/>
    <w:rsid w:val="7FC81DEA"/>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66329E-49EA-4FC8-8863-DF5E3FA6D74F}">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12</Pages>
  <Words>4541</Words>
  <Characters>25886</Characters>
  <Lines>215</Lines>
  <Paragraphs>60</Paragraphs>
  <TotalTime>0</TotalTime>
  <ScaleCrop>false</ScaleCrop>
  <LinksUpToDate>false</LinksUpToDate>
  <CharactersWithSpaces>30367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2022-02-11T03:02:40Z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